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4F54C6" w14:paraId="4DF836BB" w14:textId="77777777" w:rsidTr="00D4727D">
        <w:tc>
          <w:tcPr>
            <w:tcW w:w="2430" w:type="dxa"/>
          </w:tcPr>
          <w:p w14:paraId="30E39A9C" w14:textId="77777777" w:rsidR="004F54C6" w:rsidRPr="001C46E5" w:rsidRDefault="004F54C6" w:rsidP="00A321C9">
            <w:pPr>
              <w:rPr>
                <w:rFonts w:cstheme="minorHAnsi"/>
                <w:sz w:val="24"/>
                <w:szCs w:val="24"/>
              </w:rPr>
            </w:pPr>
            <w:r w:rsidRPr="001C46E5">
              <w:rPr>
                <w:rFonts w:cstheme="minorHAnsi"/>
                <w:sz w:val="24"/>
                <w:szCs w:val="24"/>
              </w:rPr>
              <w:t>POSITION:</w:t>
            </w:r>
          </w:p>
        </w:tc>
        <w:tc>
          <w:tcPr>
            <w:tcW w:w="6920" w:type="dxa"/>
          </w:tcPr>
          <w:p w14:paraId="26AF2C83" w14:textId="77777777" w:rsidR="004F54C6" w:rsidRDefault="00F564E1" w:rsidP="00A321C9">
            <w:pPr>
              <w:rPr>
                <w:rFonts w:cstheme="minorHAnsi"/>
                <w:sz w:val="24"/>
                <w:szCs w:val="24"/>
              </w:rPr>
            </w:pPr>
            <w:r>
              <w:rPr>
                <w:rFonts w:cstheme="minorHAnsi"/>
                <w:sz w:val="24"/>
                <w:szCs w:val="24"/>
              </w:rPr>
              <w:t>Treasurer</w:t>
            </w:r>
          </w:p>
          <w:p w14:paraId="294B6F43" w14:textId="77777777" w:rsidR="00D4727D" w:rsidRPr="001C46E5" w:rsidRDefault="00D4727D" w:rsidP="00A321C9">
            <w:pPr>
              <w:rPr>
                <w:rFonts w:cstheme="minorHAnsi"/>
                <w:sz w:val="24"/>
                <w:szCs w:val="24"/>
              </w:rPr>
            </w:pPr>
          </w:p>
        </w:tc>
      </w:tr>
      <w:tr w:rsidR="004F54C6" w14:paraId="4B27D10A" w14:textId="77777777" w:rsidTr="00D4727D">
        <w:tc>
          <w:tcPr>
            <w:tcW w:w="2430" w:type="dxa"/>
          </w:tcPr>
          <w:p w14:paraId="46587229" w14:textId="77777777" w:rsidR="004F54C6" w:rsidRPr="001C46E5" w:rsidRDefault="004F54C6" w:rsidP="00A321C9">
            <w:pPr>
              <w:rPr>
                <w:rFonts w:cstheme="minorHAnsi"/>
                <w:sz w:val="24"/>
                <w:szCs w:val="24"/>
              </w:rPr>
            </w:pPr>
            <w:r w:rsidRPr="001C46E5">
              <w:rPr>
                <w:rFonts w:cstheme="minorHAnsi"/>
                <w:sz w:val="24"/>
                <w:szCs w:val="24"/>
              </w:rPr>
              <w:t>TERMS:</w:t>
            </w:r>
          </w:p>
        </w:tc>
        <w:tc>
          <w:tcPr>
            <w:tcW w:w="6920" w:type="dxa"/>
          </w:tcPr>
          <w:p w14:paraId="4A205AA6" w14:textId="730EC868" w:rsidR="004F54C6" w:rsidRDefault="00F564E1" w:rsidP="00A321C9">
            <w:pPr>
              <w:rPr>
                <w:sz w:val="24"/>
              </w:rPr>
            </w:pPr>
            <w:r>
              <w:rPr>
                <w:sz w:val="24"/>
              </w:rPr>
              <w:t xml:space="preserve">Refer to </w:t>
            </w:r>
            <w:r w:rsidR="00D4727D">
              <w:rPr>
                <w:sz w:val="24"/>
              </w:rPr>
              <w:t>the a</w:t>
            </w:r>
            <w:r>
              <w:rPr>
                <w:sz w:val="24"/>
              </w:rPr>
              <w:t>ssociation Bylaws</w:t>
            </w:r>
            <w:r w:rsidR="00D4727D">
              <w:rPr>
                <w:sz w:val="24"/>
              </w:rPr>
              <w:t>.</w:t>
            </w:r>
          </w:p>
          <w:p w14:paraId="56425E48" w14:textId="77777777" w:rsidR="00D4727D" w:rsidRPr="00F564E1" w:rsidRDefault="00D4727D" w:rsidP="00A321C9">
            <w:pPr>
              <w:rPr>
                <w:sz w:val="24"/>
              </w:rPr>
            </w:pPr>
          </w:p>
        </w:tc>
      </w:tr>
      <w:tr w:rsidR="004F54C6" w14:paraId="1484E592" w14:textId="77777777" w:rsidTr="00D4727D">
        <w:tc>
          <w:tcPr>
            <w:tcW w:w="2430" w:type="dxa"/>
          </w:tcPr>
          <w:p w14:paraId="518B4127" w14:textId="77777777" w:rsidR="004F54C6" w:rsidRPr="001C46E5" w:rsidRDefault="004F54C6" w:rsidP="00A321C9">
            <w:pPr>
              <w:rPr>
                <w:rFonts w:cstheme="minorHAnsi"/>
                <w:sz w:val="24"/>
                <w:szCs w:val="24"/>
              </w:rPr>
            </w:pPr>
            <w:r w:rsidRPr="001C46E5">
              <w:rPr>
                <w:rFonts w:cstheme="minorHAnsi"/>
                <w:sz w:val="24"/>
                <w:szCs w:val="24"/>
              </w:rPr>
              <w:t>QUALIFICATIONS:</w:t>
            </w:r>
          </w:p>
        </w:tc>
        <w:tc>
          <w:tcPr>
            <w:tcW w:w="6920" w:type="dxa"/>
          </w:tcPr>
          <w:p w14:paraId="664F4ACF" w14:textId="77777777" w:rsidR="004F54C6" w:rsidRDefault="00E1421A" w:rsidP="00A321C9">
            <w:pPr>
              <w:rPr>
                <w:rFonts w:cstheme="minorHAnsi"/>
                <w:sz w:val="24"/>
                <w:szCs w:val="24"/>
              </w:rPr>
            </w:pPr>
            <w:r w:rsidRPr="001C46E5">
              <w:rPr>
                <w:rFonts w:cstheme="minorHAnsi"/>
                <w:sz w:val="24"/>
                <w:szCs w:val="24"/>
              </w:rPr>
              <w:t>In order to be eligible to hold office or represent the association as a delegate to General Convention or Alumnae Panhellenic, a member must be in good standing.</w:t>
            </w:r>
          </w:p>
          <w:p w14:paraId="0AF5D8A5" w14:textId="77777777" w:rsidR="00D4727D" w:rsidRPr="001C46E5" w:rsidRDefault="00D4727D" w:rsidP="00A321C9">
            <w:pPr>
              <w:rPr>
                <w:rFonts w:cstheme="minorHAnsi"/>
                <w:sz w:val="24"/>
                <w:szCs w:val="24"/>
              </w:rPr>
            </w:pPr>
          </w:p>
        </w:tc>
      </w:tr>
      <w:tr w:rsidR="004F54C6" w14:paraId="1F6572E1" w14:textId="77777777" w:rsidTr="00D4727D">
        <w:tc>
          <w:tcPr>
            <w:tcW w:w="2430" w:type="dxa"/>
          </w:tcPr>
          <w:p w14:paraId="4967CB49" w14:textId="77777777" w:rsidR="004F54C6" w:rsidRPr="001C46E5" w:rsidRDefault="004377A0" w:rsidP="00A321C9">
            <w:pPr>
              <w:rPr>
                <w:rFonts w:cstheme="minorHAnsi"/>
                <w:sz w:val="24"/>
                <w:szCs w:val="24"/>
              </w:rPr>
            </w:pPr>
            <w:r w:rsidRPr="001C46E5">
              <w:rPr>
                <w:rFonts w:cstheme="minorHAnsi"/>
                <w:sz w:val="24"/>
                <w:szCs w:val="24"/>
              </w:rPr>
              <w:t xml:space="preserve">SUPPORTED BY: </w:t>
            </w:r>
          </w:p>
        </w:tc>
        <w:tc>
          <w:tcPr>
            <w:tcW w:w="6920" w:type="dxa"/>
          </w:tcPr>
          <w:p w14:paraId="2DEE80AB" w14:textId="77777777" w:rsidR="00F564E1" w:rsidRDefault="00F564E1" w:rsidP="00A321C9">
            <w:pPr>
              <w:rPr>
                <w:sz w:val="24"/>
              </w:rPr>
            </w:pPr>
            <w:r>
              <w:rPr>
                <w:sz w:val="24"/>
              </w:rPr>
              <w:t>Alumna Relations Specialist</w:t>
            </w:r>
          </w:p>
          <w:p w14:paraId="31CAEF19" w14:textId="77777777" w:rsidR="004377A0" w:rsidRDefault="00F564E1" w:rsidP="00A321C9">
            <w:pPr>
              <w:rPr>
                <w:sz w:val="24"/>
              </w:rPr>
            </w:pPr>
            <w:r>
              <w:rPr>
                <w:sz w:val="24"/>
              </w:rPr>
              <w:t>Alumnae Experience Department</w:t>
            </w:r>
          </w:p>
          <w:p w14:paraId="514356CA" w14:textId="77777777" w:rsidR="00D4727D" w:rsidRPr="00F564E1" w:rsidRDefault="00D4727D" w:rsidP="00A321C9">
            <w:pPr>
              <w:rPr>
                <w:sz w:val="24"/>
              </w:rPr>
            </w:pPr>
          </w:p>
        </w:tc>
      </w:tr>
      <w:tr w:rsidR="004F54C6" w14:paraId="21CA7AF3" w14:textId="77777777" w:rsidTr="00D4727D">
        <w:tc>
          <w:tcPr>
            <w:tcW w:w="2430" w:type="dxa"/>
          </w:tcPr>
          <w:p w14:paraId="11F4E002" w14:textId="77777777" w:rsidR="004F54C6" w:rsidRPr="001C46E5" w:rsidRDefault="004F54C6" w:rsidP="00A321C9">
            <w:pPr>
              <w:rPr>
                <w:rFonts w:cstheme="minorHAnsi"/>
                <w:sz w:val="24"/>
                <w:szCs w:val="24"/>
              </w:rPr>
            </w:pPr>
            <w:r w:rsidRPr="001C46E5">
              <w:rPr>
                <w:rFonts w:cstheme="minorHAnsi"/>
                <w:sz w:val="24"/>
                <w:szCs w:val="24"/>
              </w:rPr>
              <w:t>KEY COLLABORATORS:</w:t>
            </w:r>
          </w:p>
        </w:tc>
        <w:tc>
          <w:tcPr>
            <w:tcW w:w="6920" w:type="dxa"/>
          </w:tcPr>
          <w:p w14:paraId="7A425E07" w14:textId="37B2DC2F" w:rsidR="004F54C6" w:rsidRDefault="00F564E1" w:rsidP="00A321C9">
            <w:pPr>
              <w:rPr>
                <w:sz w:val="24"/>
              </w:rPr>
            </w:pPr>
            <w:r>
              <w:rPr>
                <w:sz w:val="24"/>
              </w:rPr>
              <w:t xml:space="preserve">President, </w:t>
            </w:r>
            <w:r w:rsidR="00147E28">
              <w:rPr>
                <w:sz w:val="24"/>
              </w:rPr>
              <w:t>Secretary</w:t>
            </w:r>
            <w:r>
              <w:rPr>
                <w:sz w:val="24"/>
              </w:rPr>
              <w:t xml:space="preserve">, </w:t>
            </w:r>
            <w:r w:rsidR="00D4727D">
              <w:rPr>
                <w:sz w:val="24"/>
              </w:rPr>
              <w:t xml:space="preserve">officers </w:t>
            </w:r>
            <w:r>
              <w:rPr>
                <w:sz w:val="24"/>
              </w:rPr>
              <w:t xml:space="preserve">elected by </w:t>
            </w:r>
            <w:r w:rsidR="00D4727D">
              <w:rPr>
                <w:sz w:val="24"/>
              </w:rPr>
              <w:t>the association</w:t>
            </w:r>
            <w:r>
              <w:rPr>
                <w:sz w:val="24"/>
              </w:rPr>
              <w:t>,</w:t>
            </w:r>
            <w:r w:rsidR="00D4727D">
              <w:rPr>
                <w:sz w:val="24"/>
              </w:rPr>
              <w:t xml:space="preserve"> and the</w:t>
            </w:r>
            <w:r>
              <w:rPr>
                <w:sz w:val="24"/>
              </w:rPr>
              <w:t xml:space="preserve"> Alumna Relations Specialist</w:t>
            </w:r>
          </w:p>
          <w:p w14:paraId="5F1E2050" w14:textId="77777777" w:rsidR="00D4727D" w:rsidRPr="00147E28" w:rsidRDefault="00D4727D" w:rsidP="00A321C9">
            <w:pPr>
              <w:rPr>
                <w:sz w:val="24"/>
              </w:rPr>
            </w:pPr>
          </w:p>
        </w:tc>
      </w:tr>
      <w:tr w:rsidR="004F54C6" w14:paraId="0AC6A016" w14:textId="77777777" w:rsidTr="00D4727D">
        <w:tc>
          <w:tcPr>
            <w:tcW w:w="2430" w:type="dxa"/>
          </w:tcPr>
          <w:p w14:paraId="6FDB869B" w14:textId="77777777" w:rsidR="004F54C6" w:rsidRPr="001C46E5" w:rsidRDefault="004F54C6" w:rsidP="00A321C9">
            <w:pPr>
              <w:rPr>
                <w:rFonts w:cstheme="minorHAnsi"/>
                <w:sz w:val="24"/>
                <w:szCs w:val="24"/>
              </w:rPr>
            </w:pPr>
            <w:r w:rsidRPr="001C46E5">
              <w:rPr>
                <w:rFonts w:cstheme="minorHAnsi"/>
                <w:sz w:val="24"/>
                <w:szCs w:val="24"/>
              </w:rPr>
              <w:t>OVERVIEW:</w:t>
            </w:r>
          </w:p>
        </w:tc>
        <w:tc>
          <w:tcPr>
            <w:tcW w:w="6920" w:type="dxa"/>
          </w:tcPr>
          <w:p w14:paraId="53C7C957" w14:textId="2B7006A2" w:rsidR="004F54C6" w:rsidRDefault="00FA6B3E" w:rsidP="00A321C9">
            <w:pPr>
              <w:tabs>
                <w:tab w:val="left" w:pos="360"/>
                <w:tab w:val="left" w:pos="720"/>
                <w:tab w:val="left" w:pos="1080"/>
                <w:tab w:val="left" w:pos="1440"/>
                <w:tab w:val="center" w:pos="4003"/>
              </w:tabs>
              <w:rPr>
                <w:rFonts w:cstheme="minorHAnsi"/>
                <w:sz w:val="24"/>
                <w:szCs w:val="24"/>
              </w:rPr>
            </w:pPr>
            <w:r w:rsidRPr="007E6395">
              <w:rPr>
                <w:rFonts w:cstheme="minorHAnsi"/>
                <w:sz w:val="24"/>
                <w:szCs w:val="24"/>
              </w:rPr>
              <w:t xml:space="preserve">The </w:t>
            </w:r>
            <w:r>
              <w:rPr>
                <w:rFonts w:cstheme="minorHAnsi"/>
                <w:sz w:val="24"/>
                <w:szCs w:val="24"/>
              </w:rPr>
              <w:t>Treasurer</w:t>
            </w:r>
            <w:r w:rsidRPr="007E6395">
              <w:rPr>
                <w:rFonts w:cstheme="minorHAnsi"/>
                <w:sz w:val="24"/>
                <w:szCs w:val="24"/>
              </w:rPr>
              <w:t xml:space="preserve"> should </w:t>
            </w:r>
            <w:r>
              <w:rPr>
                <w:rFonts w:cstheme="minorHAnsi"/>
                <w:sz w:val="24"/>
                <w:szCs w:val="24"/>
              </w:rPr>
              <w:t xml:space="preserve">keep the financial records of the association and submit all dues, reports and forms by the expected due dates. </w:t>
            </w:r>
            <w:r w:rsidR="00C7366E" w:rsidRPr="007E6395">
              <w:rPr>
                <w:rFonts w:cstheme="minorHAnsi"/>
                <w:sz w:val="24"/>
                <w:szCs w:val="24"/>
              </w:rPr>
              <w:t xml:space="preserve">The </w:t>
            </w:r>
            <w:r w:rsidR="00A321C9" w:rsidRPr="007E6395">
              <w:rPr>
                <w:rFonts w:cstheme="minorHAnsi"/>
                <w:sz w:val="24"/>
                <w:szCs w:val="24"/>
              </w:rPr>
              <w:t xml:space="preserve">alumnae association </w:t>
            </w:r>
            <w:r w:rsidR="00973099">
              <w:rPr>
                <w:rFonts w:cstheme="minorHAnsi"/>
                <w:sz w:val="24"/>
                <w:szCs w:val="24"/>
              </w:rPr>
              <w:t>Treasurer collaborates with</w:t>
            </w:r>
            <w:r w:rsidR="00C7366E" w:rsidRPr="007E6395">
              <w:rPr>
                <w:rFonts w:cstheme="minorHAnsi"/>
                <w:sz w:val="24"/>
                <w:szCs w:val="24"/>
              </w:rPr>
              <w:t xml:space="preserve"> </w:t>
            </w:r>
            <w:r w:rsidR="00D4727D" w:rsidRPr="007E6395">
              <w:rPr>
                <w:rFonts w:cstheme="minorHAnsi"/>
                <w:sz w:val="24"/>
                <w:szCs w:val="24"/>
              </w:rPr>
              <w:t>Executive Bo</w:t>
            </w:r>
            <w:r w:rsidR="00C7366E" w:rsidRPr="007E6395">
              <w:rPr>
                <w:rFonts w:cstheme="minorHAnsi"/>
                <w:sz w:val="24"/>
                <w:szCs w:val="24"/>
              </w:rPr>
              <w:t>ard</w:t>
            </w:r>
            <w:r w:rsidR="00973099">
              <w:rPr>
                <w:rFonts w:cstheme="minorHAnsi"/>
                <w:sz w:val="24"/>
                <w:szCs w:val="24"/>
              </w:rPr>
              <w:t xml:space="preserve">. </w:t>
            </w:r>
            <w:r w:rsidR="00C7366E" w:rsidRPr="007E6395">
              <w:rPr>
                <w:rFonts w:cstheme="minorHAnsi"/>
                <w:sz w:val="24"/>
                <w:szCs w:val="24"/>
              </w:rPr>
              <w:t xml:space="preserve">With </w:t>
            </w:r>
            <w:r w:rsidR="00D4727D" w:rsidRPr="007E6395">
              <w:rPr>
                <w:rFonts w:cstheme="minorHAnsi"/>
                <w:sz w:val="24"/>
                <w:szCs w:val="24"/>
              </w:rPr>
              <w:t xml:space="preserve">Executive Board </w:t>
            </w:r>
            <w:r w:rsidR="00C7366E" w:rsidRPr="007E6395">
              <w:rPr>
                <w:rFonts w:cstheme="minorHAnsi"/>
                <w:sz w:val="24"/>
                <w:szCs w:val="24"/>
              </w:rPr>
              <w:t xml:space="preserve">and support from the Alumna Relations Specialist and Alumnae Experience Department, </w:t>
            </w:r>
            <w:r w:rsidR="00D4727D">
              <w:rPr>
                <w:rFonts w:cstheme="minorHAnsi"/>
                <w:sz w:val="24"/>
                <w:szCs w:val="24"/>
              </w:rPr>
              <w:t>they</w:t>
            </w:r>
            <w:r w:rsidR="00D4727D" w:rsidRPr="007E6395">
              <w:rPr>
                <w:rFonts w:cstheme="minorHAnsi"/>
                <w:sz w:val="24"/>
                <w:szCs w:val="24"/>
              </w:rPr>
              <w:t xml:space="preserve"> </w:t>
            </w:r>
            <w:r w:rsidR="00C7366E" w:rsidRPr="007E6395">
              <w:rPr>
                <w:rFonts w:cstheme="minorHAnsi"/>
                <w:sz w:val="24"/>
                <w:szCs w:val="24"/>
              </w:rPr>
              <w:t>should provide opportunities for engagement across generations and encourage the participation of alumnae in the Fraternity</w:t>
            </w:r>
            <w:r w:rsidR="00D4727D">
              <w:rPr>
                <w:rFonts w:cstheme="minorHAnsi"/>
                <w:sz w:val="24"/>
                <w:szCs w:val="24"/>
              </w:rPr>
              <w:t>’s</w:t>
            </w:r>
            <w:r w:rsidR="00C7366E" w:rsidRPr="007E6395">
              <w:rPr>
                <w:rFonts w:cstheme="minorHAnsi"/>
                <w:sz w:val="24"/>
                <w:szCs w:val="24"/>
              </w:rPr>
              <w:t xml:space="preserve"> programs. </w:t>
            </w:r>
          </w:p>
          <w:p w14:paraId="3283F123" w14:textId="77777777" w:rsidR="00D4727D" w:rsidRPr="001C46E5" w:rsidRDefault="00D4727D" w:rsidP="00A321C9">
            <w:pPr>
              <w:tabs>
                <w:tab w:val="left" w:pos="360"/>
                <w:tab w:val="left" w:pos="720"/>
                <w:tab w:val="left" w:pos="1080"/>
                <w:tab w:val="left" w:pos="1440"/>
                <w:tab w:val="center" w:pos="4003"/>
              </w:tabs>
              <w:rPr>
                <w:rFonts w:cstheme="minorHAnsi"/>
                <w:sz w:val="24"/>
                <w:szCs w:val="24"/>
              </w:rPr>
            </w:pPr>
          </w:p>
        </w:tc>
      </w:tr>
      <w:tr w:rsidR="004F54C6" w14:paraId="3E003B28" w14:textId="77777777" w:rsidTr="00D4727D">
        <w:tc>
          <w:tcPr>
            <w:tcW w:w="2430" w:type="dxa"/>
          </w:tcPr>
          <w:p w14:paraId="00F833B4" w14:textId="77777777" w:rsidR="004F54C6" w:rsidRPr="001C46E5" w:rsidRDefault="004F54C6" w:rsidP="00A321C9">
            <w:pPr>
              <w:rPr>
                <w:rFonts w:cstheme="minorHAnsi"/>
                <w:sz w:val="24"/>
                <w:szCs w:val="24"/>
              </w:rPr>
            </w:pPr>
            <w:r w:rsidRPr="001C46E5">
              <w:rPr>
                <w:rFonts w:cstheme="minorHAnsi"/>
                <w:sz w:val="24"/>
                <w:szCs w:val="24"/>
              </w:rPr>
              <w:t>TIME COMMITMENT:</w:t>
            </w:r>
          </w:p>
        </w:tc>
        <w:tc>
          <w:tcPr>
            <w:tcW w:w="6920" w:type="dxa"/>
          </w:tcPr>
          <w:p w14:paraId="4CE42D59" w14:textId="4B9A21AE" w:rsidR="004F54C6" w:rsidRDefault="00C7366E" w:rsidP="00A321C9">
            <w:pPr>
              <w:rPr>
                <w:sz w:val="24"/>
              </w:rPr>
            </w:pPr>
            <w:r>
              <w:rPr>
                <w:sz w:val="24"/>
              </w:rPr>
              <w:t>1</w:t>
            </w:r>
            <w:r w:rsidR="00D4727D">
              <w:rPr>
                <w:sz w:val="24"/>
              </w:rPr>
              <w:t>–</w:t>
            </w:r>
            <w:r>
              <w:rPr>
                <w:sz w:val="24"/>
              </w:rPr>
              <w:t>5 hours per week</w:t>
            </w:r>
          </w:p>
          <w:p w14:paraId="68AC8892" w14:textId="77777777" w:rsidR="00D4727D" w:rsidRPr="00C7366E" w:rsidRDefault="00D4727D" w:rsidP="00A321C9">
            <w:pPr>
              <w:rPr>
                <w:sz w:val="24"/>
              </w:rPr>
            </w:pPr>
          </w:p>
        </w:tc>
      </w:tr>
      <w:tr w:rsidR="004F54C6" w14:paraId="11D0F06C" w14:textId="77777777" w:rsidTr="00D4727D">
        <w:tc>
          <w:tcPr>
            <w:tcW w:w="2430" w:type="dxa"/>
          </w:tcPr>
          <w:p w14:paraId="29EA3983" w14:textId="77777777" w:rsidR="004F54C6" w:rsidRPr="001C46E5" w:rsidRDefault="004F54C6" w:rsidP="00A321C9">
            <w:pPr>
              <w:rPr>
                <w:rFonts w:cstheme="minorHAnsi"/>
                <w:sz w:val="24"/>
                <w:szCs w:val="24"/>
              </w:rPr>
            </w:pPr>
            <w:r w:rsidRPr="001C46E5">
              <w:rPr>
                <w:rFonts w:cstheme="minorHAnsi"/>
                <w:sz w:val="24"/>
                <w:szCs w:val="24"/>
              </w:rPr>
              <w:t>RESPONSIBILITIES:</w:t>
            </w:r>
          </w:p>
        </w:tc>
        <w:tc>
          <w:tcPr>
            <w:tcW w:w="6920" w:type="dxa"/>
          </w:tcPr>
          <w:p w14:paraId="1F7633B1" w14:textId="4AE1D02D" w:rsidR="00973099" w:rsidRDefault="00973099" w:rsidP="00A321C9">
            <w:pPr>
              <w:rPr>
                <w:rFonts w:cstheme="minorHAnsi"/>
                <w:sz w:val="24"/>
                <w:szCs w:val="24"/>
              </w:rPr>
            </w:pPr>
            <w:r>
              <w:rPr>
                <w:rFonts w:cstheme="minorHAnsi"/>
                <w:sz w:val="24"/>
                <w:szCs w:val="24"/>
              </w:rPr>
              <w:t>Keep the financial records of the association.</w:t>
            </w:r>
          </w:p>
          <w:p w14:paraId="547428FE" w14:textId="77777777" w:rsidR="00973099" w:rsidRDefault="00973099" w:rsidP="00A321C9">
            <w:pPr>
              <w:rPr>
                <w:rFonts w:cstheme="minorHAnsi"/>
                <w:sz w:val="24"/>
                <w:szCs w:val="24"/>
              </w:rPr>
            </w:pPr>
          </w:p>
          <w:p w14:paraId="07557244" w14:textId="77777777" w:rsidR="009E058D" w:rsidRDefault="00E74C96" w:rsidP="00A321C9">
            <w:pPr>
              <w:rPr>
                <w:rFonts w:cstheme="minorHAnsi"/>
                <w:sz w:val="24"/>
                <w:szCs w:val="24"/>
              </w:rPr>
            </w:pPr>
            <w:r>
              <w:rPr>
                <w:rFonts w:cstheme="minorHAnsi"/>
                <w:sz w:val="24"/>
                <w:szCs w:val="24"/>
              </w:rPr>
              <w:t>Submit per capita fee</w:t>
            </w:r>
            <w:r w:rsidR="009E058D">
              <w:rPr>
                <w:rFonts w:cstheme="minorHAnsi"/>
                <w:sz w:val="24"/>
                <w:szCs w:val="24"/>
              </w:rPr>
              <w:t>s by mailing in</w:t>
            </w:r>
            <w:r w:rsidR="00A321C9">
              <w:rPr>
                <w:rFonts w:cstheme="minorHAnsi"/>
                <w:sz w:val="24"/>
                <w:szCs w:val="24"/>
              </w:rPr>
              <w:t xml:space="preserve"> the</w:t>
            </w:r>
            <w:r w:rsidR="009E058D">
              <w:rPr>
                <w:rFonts w:cstheme="minorHAnsi"/>
                <w:sz w:val="24"/>
                <w:szCs w:val="24"/>
              </w:rPr>
              <w:t xml:space="preserve"> membership roster, check, and Alumnae Association Fee </w:t>
            </w:r>
            <w:r w:rsidR="00A321C9">
              <w:rPr>
                <w:rFonts w:cstheme="minorHAnsi"/>
                <w:sz w:val="24"/>
                <w:szCs w:val="24"/>
              </w:rPr>
              <w:t>R</w:t>
            </w:r>
            <w:r w:rsidR="009E058D">
              <w:rPr>
                <w:rFonts w:cstheme="minorHAnsi"/>
                <w:sz w:val="24"/>
                <w:szCs w:val="24"/>
              </w:rPr>
              <w:t xml:space="preserve">eport or by submitting via </w:t>
            </w:r>
            <w:r w:rsidR="009E058D" w:rsidRPr="00FA6B3E">
              <w:rPr>
                <w:rFonts w:cstheme="minorHAnsi"/>
                <w:i/>
                <w:sz w:val="24"/>
                <w:szCs w:val="24"/>
              </w:rPr>
              <w:t>KeyReports</w:t>
            </w:r>
            <w:r w:rsidR="00A321C9">
              <w:rPr>
                <w:rFonts w:cstheme="minorHAnsi"/>
                <w:sz w:val="24"/>
                <w:szCs w:val="24"/>
              </w:rPr>
              <w:t>. The i</w:t>
            </w:r>
            <w:r w:rsidR="009E058D">
              <w:rPr>
                <w:rFonts w:cstheme="minorHAnsi"/>
                <w:sz w:val="24"/>
                <w:szCs w:val="24"/>
              </w:rPr>
              <w:t xml:space="preserve">nitial association fees and list of dues-payers must be sent by Nov. 1. </w:t>
            </w:r>
          </w:p>
          <w:p w14:paraId="740D53F2" w14:textId="77777777" w:rsidR="00973099" w:rsidRDefault="00973099" w:rsidP="00A321C9">
            <w:pPr>
              <w:rPr>
                <w:rFonts w:cstheme="minorHAnsi"/>
                <w:sz w:val="24"/>
                <w:szCs w:val="24"/>
              </w:rPr>
            </w:pPr>
          </w:p>
          <w:p w14:paraId="3E5A626D" w14:textId="77777777" w:rsidR="00973099" w:rsidRDefault="00973099" w:rsidP="00A321C9">
            <w:pPr>
              <w:rPr>
                <w:rFonts w:cstheme="minorHAnsi"/>
                <w:sz w:val="24"/>
                <w:szCs w:val="24"/>
              </w:rPr>
            </w:pPr>
            <w:r>
              <w:rPr>
                <w:rFonts w:cstheme="minorHAnsi"/>
                <w:sz w:val="24"/>
                <w:szCs w:val="24"/>
              </w:rPr>
              <w:t xml:space="preserve">Disburse funds as required and keep an accurate account of all receipts and disbursements. </w:t>
            </w:r>
          </w:p>
          <w:p w14:paraId="2C7EBEA6" w14:textId="77777777" w:rsidR="00973099" w:rsidRDefault="00973099" w:rsidP="00A321C9">
            <w:pPr>
              <w:rPr>
                <w:rFonts w:cstheme="minorHAnsi"/>
                <w:sz w:val="24"/>
                <w:szCs w:val="24"/>
              </w:rPr>
            </w:pPr>
          </w:p>
          <w:p w14:paraId="1564B1FC" w14:textId="7C62F1C9" w:rsidR="00973099" w:rsidRDefault="00973099" w:rsidP="00A321C9">
            <w:pPr>
              <w:rPr>
                <w:rFonts w:cstheme="minorHAnsi"/>
                <w:sz w:val="24"/>
                <w:szCs w:val="24"/>
              </w:rPr>
            </w:pPr>
            <w:r>
              <w:rPr>
                <w:rFonts w:cstheme="minorHAnsi"/>
                <w:sz w:val="24"/>
                <w:szCs w:val="24"/>
              </w:rPr>
              <w:t xml:space="preserve">Prepare the annual association budget and have charge of the operation of the budget under the supervision of </w:t>
            </w:r>
            <w:r w:rsidR="00D4727D">
              <w:rPr>
                <w:rFonts w:cstheme="minorHAnsi"/>
                <w:sz w:val="24"/>
                <w:szCs w:val="24"/>
              </w:rPr>
              <w:t>Executive Board</w:t>
            </w:r>
            <w:r>
              <w:rPr>
                <w:rFonts w:cstheme="minorHAnsi"/>
                <w:sz w:val="24"/>
                <w:szCs w:val="24"/>
              </w:rPr>
              <w:t xml:space="preserve">. </w:t>
            </w:r>
          </w:p>
          <w:p w14:paraId="530CD58E" w14:textId="77777777" w:rsidR="00973099" w:rsidRDefault="00973099" w:rsidP="00A321C9">
            <w:pPr>
              <w:rPr>
                <w:rFonts w:cstheme="minorHAnsi"/>
                <w:sz w:val="24"/>
                <w:szCs w:val="24"/>
              </w:rPr>
            </w:pPr>
          </w:p>
          <w:p w14:paraId="2E698D97" w14:textId="59EE7F2D" w:rsidR="00973099" w:rsidRPr="00973099" w:rsidRDefault="00973099" w:rsidP="00A321C9">
            <w:pPr>
              <w:rPr>
                <w:rFonts w:cstheme="minorHAnsi"/>
                <w:sz w:val="24"/>
                <w:szCs w:val="24"/>
              </w:rPr>
            </w:pPr>
            <w:r>
              <w:rPr>
                <w:rFonts w:cstheme="minorHAnsi"/>
                <w:sz w:val="24"/>
                <w:szCs w:val="24"/>
              </w:rPr>
              <w:t>Prepare and send the yearly financial report by July 31</w:t>
            </w:r>
            <w:r w:rsidR="001A6B2F">
              <w:rPr>
                <w:rFonts w:cstheme="minorHAnsi"/>
                <w:sz w:val="24"/>
                <w:szCs w:val="24"/>
              </w:rPr>
              <w:t xml:space="preserve"> and submit through </w:t>
            </w:r>
            <w:r w:rsidR="001A6B2F">
              <w:rPr>
                <w:rFonts w:cstheme="minorHAnsi"/>
                <w:i/>
                <w:sz w:val="24"/>
                <w:szCs w:val="24"/>
              </w:rPr>
              <w:t>KeyReports.</w:t>
            </w:r>
            <w:r>
              <w:rPr>
                <w:rFonts w:cstheme="minorHAnsi"/>
                <w:sz w:val="24"/>
                <w:szCs w:val="24"/>
              </w:rPr>
              <w:t xml:space="preserve"> </w:t>
            </w:r>
            <w:r w:rsidRPr="00FA6B3E">
              <w:rPr>
                <w:rFonts w:cstheme="minorHAnsi"/>
                <w:sz w:val="24"/>
                <w:szCs w:val="24"/>
                <w:highlight w:val="yellow"/>
              </w:rPr>
              <w:t>[include where this is sent]</w:t>
            </w:r>
            <w:r w:rsidR="009E058D">
              <w:rPr>
                <w:rFonts w:cstheme="minorHAnsi"/>
                <w:sz w:val="24"/>
                <w:szCs w:val="24"/>
              </w:rPr>
              <w:t xml:space="preserve">. </w:t>
            </w:r>
          </w:p>
          <w:p w14:paraId="2269AE01" w14:textId="77777777" w:rsidR="00973099" w:rsidRDefault="00973099" w:rsidP="00A321C9">
            <w:pPr>
              <w:rPr>
                <w:rFonts w:cstheme="minorHAnsi"/>
                <w:b/>
                <w:sz w:val="24"/>
                <w:szCs w:val="24"/>
              </w:rPr>
            </w:pPr>
          </w:p>
          <w:p w14:paraId="4B450F2A" w14:textId="77777777" w:rsidR="00973099" w:rsidRPr="001C46E5" w:rsidRDefault="00973099" w:rsidP="00A321C9">
            <w:pPr>
              <w:rPr>
                <w:rFonts w:cstheme="minorHAnsi"/>
                <w:sz w:val="24"/>
                <w:szCs w:val="24"/>
              </w:rPr>
            </w:pPr>
            <w:r w:rsidRPr="001C46E5">
              <w:rPr>
                <w:rFonts w:cstheme="minorHAnsi"/>
                <w:sz w:val="24"/>
                <w:szCs w:val="24"/>
              </w:rPr>
              <w:lastRenderedPageBreak/>
              <w:t xml:space="preserve">Foster collaboration by empowering others to participate and being a role model and active member of the association. </w:t>
            </w:r>
          </w:p>
          <w:p w14:paraId="33639DF1" w14:textId="77777777" w:rsidR="00973099" w:rsidRPr="001C46E5" w:rsidRDefault="00973099" w:rsidP="00A321C9">
            <w:pPr>
              <w:rPr>
                <w:rFonts w:cstheme="minorHAnsi"/>
                <w:sz w:val="24"/>
                <w:szCs w:val="24"/>
              </w:rPr>
            </w:pPr>
          </w:p>
          <w:p w14:paraId="0FAEFEAB" w14:textId="20F4AE3F" w:rsidR="00973099" w:rsidRPr="001C46E5" w:rsidRDefault="00973099" w:rsidP="00A321C9">
            <w:pPr>
              <w:rPr>
                <w:rFonts w:cstheme="minorHAnsi"/>
                <w:sz w:val="24"/>
                <w:szCs w:val="24"/>
              </w:rPr>
            </w:pPr>
            <w:r w:rsidRPr="001C46E5">
              <w:rPr>
                <w:rFonts w:cstheme="minorHAnsi"/>
                <w:sz w:val="24"/>
                <w:szCs w:val="24"/>
              </w:rPr>
              <w:t xml:space="preserve">Encourage the members of Executive Board by recognizing and celebrating accomplishments. </w:t>
            </w:r>
          </w:p>
          <w:p w14:paraId="476CB0F9" w14:textId="77777777" w:rsidR="00973099" w:rsidRPr="001C46E5" w:rsidRDefault="00973099" w:rsidP="00A321C9">
            <w:pPr>
              <w:rPr>
                <w:rFonts w:cstheme="minorHAnsi"/>
                <w:sz w:val="24"/>
                <w:szCs w:val="24"/>
              </w:rPr>
            </w:pPr>
          </w:p>
          <w:p w14:paraId="2FCE2BE8" w14:textId="77777777" w:rsidR="00973099" w:rsidRPr="001C46E5" w:rsidRDefault="00973099" w:rsidP="00A321C9">
            <w:pPr>
              <w:rPr>
                <w:rFonts w:cstheme="minorHAnsi"/>
                <w:sz w:val="24"/>
                <w:szCs w:val="24"/>
              </w:rPr>
            </w:pPr>
            <w:r w:rsidRPr="001C46E5">
              <w:rPr>
                <w:rFonts w:cstheme="minorHAnsi"/>
                <w:sz w:val="24"/>
                <w:szCs w:val="24"/>
              </w:rPr>
              <w:t xml:space="preserve">Identify and utilize the talents and skills of members of the association and encourage members to aspire to leadership roles. </w:t>
            </w:r>
          </w:p>
          <w:p w14:paraId="137728E5" w14:textId="77777777" w:rsidR="00973099" w:rsidRPr="001C46E5" w:rsidRDefault="00973099" w:rsidP="00A321C9">
            <w:pPr>
              <w:rPr>
                <w:rFonts w:cstheme="minorHAnsi"/>
                <w:sz w:val="24"/>
                <w:szCs w:val="24"/>
              </w:rPr>
            </w:pPr>
          </w:p>
          <w:p w14:paraId="5D6882DA" w14:textId="77777777" w:rsidR="00973099" w:rsidRPr="001C46E5" w:rsidRDefault="00973099" w:rsidP="00A321C9">
            <w:pPr>
              <w:rPr>
                <w:rFonts w:cstheme="minorHAnsi"/>
                <w:sz w:val="24"/>
                <w:szCs w:val="24"/>
              </w:rPr>
            </w:pPr>
            <w:r w:rsidRPr="001C46E5">
              <w:rPr>
                <w:rFonts w:cstheme="minorHAnsi"/>
                <w:sz w:val="24"/>
                <w:szCs w:val="24"/>
              </w:rPr>
              <w:t xml:space="preserve">Through delegation, encouragement and mentoring, provide opportunities for personal and professional growth of members to build new skills. </w:t>
            </w:r>
          </w:p>
          <w:p w14:paraId="0D70BEBD" w14:textId="77777777" w:rsidR="00973099" w:rsidRPr="001C46E5" w:rsidRDefault="00973099" w:rsidP="00A321C9">
            <w:pPr>
              <w:rPr>
                <w:rFonts w:cstheme="minorHAnsi"/>
                <w:sz w:val="24"/>
                <w:szCs w:val="24"/>
              </w:rPr>
            </w:pPr>
          </w:p>
          <w:p w14:paraId="39520E76" w14:textId="77777777" w:rsidR="00973099" w:rsidRPr="001C46E5" w:rsidRDefault="00973099" w:rsidP="00A321C9">
            <w:pPr>
              <w:rPr>
                <w:rFonts w:cstheme="minorHAnsi"/>
                <w:sz w:val="24"/>
                <w:szCs w:val="24"/>
              </w:rPr>
            </w:pPr>
            <w:r w:rsidRPr="001C46E5">
              <w:rPr>
                <w:rFonts w:cstheme="minorHAnsi"/>
                <w:sz w:val="24"/>
                <w:szCs w:val="24"/>
              </w:rPr>
              <w:t xml:space="preserve">Vote on any question requiring the action of the association prior to the next meeting or on such matters designated in the alumnae association Bylaws. Report on any such action to the membership. </w:t>
            </w:r>
          </w:p>
          <w:p w14:paraId="1C018861" w14:textId="77777777" w:rsidR="00973099" w:rsidRPr="001C46E5" w:rsidRDefault="00973099" w:rsidP="00A321C9">
            <w:pPr>
              <w:rPr>
                <w:rFonts w:cstheme="minorHAnsi"/>
                <w:sz w:val="24"/>
                <w:szCs w:val="24"/>
              </w:rPr>
            </w:pPr>
          </w:p>
          <w:p w14:paraId="01D9BDF8" w14:textId="614F82ED" w:rsidR="00973099" w:rsidRPr="001C46E5" w:rsidRDefault="00973099" w:rsidP="00A321C9">
            <w:pPr>
              <w:rPr>
                <w:rFonts w:cstheme="minorHAnsi"/>
                <w:sz w:val="24"/>
                <w:szCs w:val="24"/>
              </w:rPr>
            </w:pPr>
            <w:r w:rsidRPr="001C46E5">
              <w:rPr>
                <w:rFonts w:cstheme="minorHAnsi"/>
                <w:sz w:val="24"/>
                <w:szCs w:val="24"/>
              </w:rPr>
              <w:t xml:space="preserve">With Executive Board, appoint a representative to the local/area Alumnae Panhellenic if one exists. </w:t>
            </w:r>
          </w:p>
          <w:p w14:paraId="19598692" w14:textId="77777777" w:rsidR="00973099" w:rsidRPr="001C46E5" w:rsidRDefault="00973099" w:rsidP="00A321C9">
            <w:pPr>
              <w:rPr>
                <w:rFonts w:cstheme="minorHAnsi"/>
                <w:sz w:val="24"/>
                <w:szCs w:val="24"/>
              </w:rPr>
            </w:pPr>
          </w:p>
          <w:p w14:paraId="1A8C60B7" w14:textId="77777777" w:rsidR="00973099" w:rsidRPr="001C46E5" w:rsidRDefault="00973099" w:rsidP="00A321C9">
            <w:pPr>
              <w:rPr>
                <w:rFonts w:cstheme="minorHAnsi"/>
                <w:sz w:val="24"/>
                <w:szCs w:val="24"/>
              </w:rPr>
            </w:pPr>
            <w:r w:rsidRPr="001C46E5">
              <w:rPr>
                <w:rFonts w:cstheme="minorHAnsi"/>
                <w:sz w:val="24"/>
                <w:szCs w:val="24"/>
              </w:rPr>
              <w:t xml:space="preserve">Review the </w:t>
            </w:r>
            <w:r w:rsidR="00D4727D">
              <w:rPr>
                <w:rFonts w:cstheme="minorHAnsi"/>
                <w:sz w:val="24"/>
                <w:szCs w:val="24"/>
              </w:rPr>
              <w:t xml:space="preserve">Kappa Kappa Gamma </w:t>
            </w:r>
            <w:r w:rsidRPr="00FA6B3E">
              <w:rPr>
                <w:rFonts w:cstheme="minorHAnsi"/>
                <w:sz w:val="24"/>
                <w:szCs w:val="24"/>
              </w:rPr>
              <w:t>Fraternity</w:t>
            </w:r>
            <w:r w:rsidRPr="001C46E5">
              <w:rPr>
                <w:rFonts w:cstheme="minorHAnsi"/>
                <w:i/>
                <w:sz w:val="24"/>
                <w:szCs w:val="24"/>
              </w:rPr>
              <w:t xml:space="preserve"> Bylaws, Standing Rules </w:t>
            </w:r>
            <w:r w:rsidRPr="001C46E5">
              <w:rPr>
                <w:rFonts w:cstheme="minorHAnsi"/>
                <w:sz w:val="24"/>
                <w:szCs w:val="24"/>
              </w:rPr>
              <w:t xml:space="preserve">and </w:t>
            </w:r>
            <w:r w:rsidRPr="001C46E5">
              <w:rPr>
                <w:rFonts w:cstheme="minorHAnsi"/>
                <w:i/>
                <w:sz w:val="24"/>
                <w:szCs w:val="24"/>
              </w:rPr>
              <w:t xml:space="preserve">Policies, </w:t>
            </w:r>
            <w:r w:rsidRPr="001C46E5">
              <w:rPr>
                <w:rFonts w:cstheme="minorHAnsi"/>
                <w:sz w:val="24"/>
                <w:szCs w:val="24"/>
              </w:rPr>
              <w:t xml:space="preserve">along with the association Bylaws and Standing Rules, at the beginning of each term of office. </w:t>
            </w:r>
          </w:p>
          <w:p w14:paraId="16671683" w14:textId="77777777" w:rsidR="00973099" w:rsidRPr="001C46E5" w:rsidRDefault="00973099" w:rsidP="00A321C9">
            <w:pPr>
              <w:rPr>
                <w:rFonts w:cstheme="minorHAnsi"/>
                <w:sz w:val="24"/>
                <w:szCs w:val="24"/>
              </w:rPr>
            </w:pPr>
          </w:p>
          <w:p w14:paraId="0BD764C1" w14:textId="6B532338" w:rsidR="00E93F48" w:rsidRDefault="00973099" w:rsidP="00A321C9">
            <w:pPr>
              <w:rPr>
                <w:rFonts w:cstheme="minorHAnsi"/>
                <w:sz w:val="24"/>
                <w:szCs w:val="24"/>
              </w:rPr>
            </w:pPr>
            <w:r w:rsidRPr="001C46E5">
              <w:rPr>
                <w:rFonts w:cstheme="minorHAnsi"/>
                <w:sz w:val="24"/>
                <w:szCs w:val="24"/>
              </w:rPr>
              <w:t>In partnership with Executive Board, appoint chairmen and committees as necessary.</w:t>
            </w:r>
          </w:p>
          <w:p w14:paraId="6140E653" w14:textId="77777777" w:rsidR="00D4727D" w:rsidRPr="001964C4" w:rsidRDefault="00D4727D" w:rsidP="00A321C9">
            <w:pPr>
              <w:rPr>
                <w:rFonts w:cstheme="minorHAnsi"/>
                <w:b/>
                <w:sz w:val="24"/>
                <w:szCs w:val="24"/>
              </w:rPr>
            </w:pPr>
          </w:p>
        </w:tc>
      </w:tr>
      <w:tr w:rsidR="004F54C6" w14:paraId="741C1259" w14:textId="77777777" w:rsidTr="00D4727D">
        <w:tc>
          <w:tcPr>
            <w:tcW w:w="2430" w:type="dxa"/>
          </w:tcPr>
          <w:p w14:paraId="17A412CA" w14:textId="77777777" w:rsidR="004F54C6" w:rsidRPr="001C46E5" w:rsidRDefault="004F54C6" w:rsidP="00A321C9">
            <w:pPr>
              <w:rPr>
                <w:rFonts w:cstheme="minorHAnsi"/>
                <w:sz w:val="24"/>
                <w:szCs w:val="24"/>
              </w:rPr>
            </w:pPr>
            <w:r w:rsidRPr="001C46E5">
              <w:rPr>
                <w:rFonts w:cstheme="minorHAnsi"/>
                <w:sz w:val="24"/>
                <w:szCs w:val="24"/>
              </w:rPr>
              <w:lastRenderedPageBreak/>
              <w:t>TRAVEL:</w:t>
            </w:r>
          </w:p>
        </w:tc>
        <w:tc>
          <w:tcPr>
            <w:tcW w:w="6920" w:type="dxa"/>
          </w:tcPr>
          <w:p w14:paraId="0C7181AA" w14:textId="77777777" w:rsidR="005C3418" w:rsidRPr="001C46E5" w:rsidRDefault="005C3418" w:rsidP="00A321C9">
            <w:pPr>
              <w:rPr>
                <w:rFonts w:cstheme="minorHAnsi"/>
                <w:sz w:val="24"/>
                <w:szCs w:val="24"/>
              </w:rPr>
            </w:pPr>
            <w:r w:rsidRPr="001C46E5">
              <w:rPr>
                <w:rFonts w:cstheme="minorHAnsi"/>
                <w:sz w:val="24"/>
                <w:szCs w:val="24"/>
              </w:rPr>
              <w:t xml:space="preserve">If the President is unable, attend General Convention </w:t>
            </w:r>
            <w:r w:rsidR="00A321C9">
              <w:rPr>
                <w:rFonts w:cstheme="minorHAnsi"/>
                <w:sz w:val="24"/>
                <w:szCs w:val="24"/>
              </w:rPr>
              <w:t>(</w:t>
            </w:r>
            <w:r w:rsidRPr="001C46E5">
              <w:rPr>
                <w:rFonts w:cstheme="minorHAnsi"/>
                <w:sz w:val="24"/>
                <w:szCs w:val="24"/>
              </w:rPr>
              <w:t>held in June of even-numbered years</w:t>
            </w:r>
            <w:r w:rsidR="00A321C9">
              <w:rPr>
                <w:rFonts w:cstheme="minorHAnsi"/>
                <w:sz w:val="24"/>
                <w:szCs w:val="24"/>
              </w:rPr>
              <w:t>)</w:t>
            </w:r>
            <w:r w:rsidRPr="001C46E5">
              <w:rPr>
                <w:rFonts w:cstheme="minorHAnsi"/>
                <w:sz w:val="24"/>
                <w:szCs w:val="24"/>
              </w:rPr>
              <w:t>.</w:t>
            </w:r>
          </w:p>
          <w:p w14:paraId="798805A9" w14:textId="77777777" w:rsidR="005C3418" w:rsidRDefault="004377A0" w:rsidP="00A321C9">
            <w:pPr>
              <w:rPr>
                <w:rFonts w:cstheme="minorHAnsi"/>
                <w:sz w:val="24"/>
                <w:szCs w:val="24"/>
              </w:rPr>
            </w:pPr>
            <w:r w:rsidRPr="001C46E5">
              <w:rPr>
                <w:rFonts w:cstheme="minorHAnsi"/>
                <w:sz w:val="24"/>
                <w:szCs w:val="24"/>
              </w:rPr>
              <w:t xml:space="preserve"> </w:t>
            </w:r>
          </w:p>
          <w:p w14:paraId="724E195B" w14:textId="77777777" w:rsidR="004F54C6" w:rsidRDefault="005C3418" w:rsidP="00A321C9">
            <w:pPr>
              <w:rPr>
                <w:rFonts w:cstheme="minorHAnsi"/>
                <w:sz w:val="24"/>
                <w:szCs w:val="24"/>
              </w:rPr>
            </w:pPr>
            <w:r w:rsidRPr="001C46E5">
              <w:rPr>
                <w:rFonts w:cstheme="minorHAnsi"/>
                <w:sz w:val="24"/>
                <w:szCs w:val="24"/>
              </w:rPr>
              <w:t>Attend meetings, events and activities as requested.</w:t>
            </w:r>
          </w:p>
          <w:p w14:paraId="392FA6BA" w14:textId="77777777" w:rsidR="00D4727D" w:rsidRPr="001C46E5" w:rsidRDefault="00D4727D" w:rsidP="00A321C9">
            <w:pPr>
              <w:rPr>
                <w:rFonts w:cstheme="minorHAnsi"/>
                <w:sz w:val="24"/>
                <w:szCs w:val="24"/>
              </w:rPr>
            </w:pPr>
          </w:p>
        </w:tc>
      </w:tr>
      <w:tr w:rsidR="004F54C6" w14:paraId="619A8608" w14:textId="77777777" w:rsidTr="00D4727D">
        <w:tc>
          <w:tcPr>
            <w:tcW w:w="2430" w:type="dxa"/>
          </w:tcPr>
          <w:p w14:paraId="73F8C5EF" w14:textId="77777777" w:rsidR="004F54C6" w:rsidRPr="001C46E5" w:rsidRDefault="004F54C6" w:rsidP="00A321C9">
            <w:pPr>
              <w:rPr>
                <w:rFonts w:cstheme="minorHAnsi"/>
                <w:sz w:val="24"/>
                <w:szCs w:val="24"/>
              </w:rPr>
            </w:pPr>
            <w:r w:rsidRPr="001C46E5">
              <w:rPr>
                <w:rFonts w:cstheme="minorHAnsi"/>
                <w:sz w:val="24"/>
                <w:szCs w:val="24"/>
              </w:rPr>
              <w:t>PERSONAL BENEFITS:</w:t>
            </w:r>
          </w:p>
        </w:tc>
        <w:tc>
          <w:tcPr>
            <w:tcW w:w="6920" w:type="dxa"/>
          </w:tcPr>
          <w:p w14:paraId="29CE475B" w14:textId="77777777" w:rsidR="005C3418" w:rsidRPr="001C46E5" w:rsidRDefault="005C3418" w:rsidP="00A321C9">
            <w:pPr>
              <w:rPr>
                <w:rFonts w:cstheme="minorHAnsi"/>
                <w:sz w:val="24"/>
                <w:szCs w:val="24"/>
              </w:rPr>
            </w:pPr>
            <w:r w:rsidRPr="001C46E5">
              <w:rPr>
                <w:rFonts w:cstheme="minorHAnsi"/>
                <w:sz w:val="24"/>
                <w:szCs w:val="24"/>
              </w:rPr>
              <w:t xml:space="preserve">Personal and professional growth in team building, interpersonal relations, project management, conflict resolution, and strategic planning. </w:t>
            </w:r>
          </w:p>
          <w:p w14:paraId="69942654" w14:textId="77777777" w:rsidR="005C3418" w:rsidRPr="001C46E5" w:rsidRDefault="005C3418" w:rsidP="00A321C9">
            <w:pPr>
              <w:rPr>
                <w:rFonts w:cstheme="minorHAnsi"/>
                <w:sz w:val="24"/>
                <w:szCs w:val="24"/>
              </w:rPr>
            </w:pPr>
          </w:p>
          <w:p w14:paraId="738F4E29" w14:textId="77777777" w:rsidR="005C3418" w:rsidRPr="001C46E5" w:rsidRDefault="005C3418" w:rsidP="00A321C9">
            <w:pPr>
              <w:rPr>
                <w:rFonts w:cstheme="minorHAnsi"/>
                <w:sz w:val="24"/>
                <w:szCs w:val="24"/>
              </w:rPr>
            </w:pPr>
            <w:r w:rsidRPr="001C46E5">
              <w:rPr>
                <w:rFonts w:cstheme="minorHAnsi"/>
                <w:sz w:val="24"/>
                <w:szCs w:val="24"/>
              </w:rPr>
              <w:t xml:space="preserve">Opportunities to work with alumnae in varied settings and situations and build relationships with other Kappa Kappa Gamma officers and volunteers. </w:t>
            </w:r>
          </w:p>
          <w:p w14:paraId="5BB67F71" w14:textId="77777777" w:rsidR="005C3418" w:rsidRPr="001C46E5" w:rsidRDefault="005C3418" w:rsidP="00A321C9">
            <w:pPr>
              <w:rPr>
                <w:rFonts w:cstheme="minorHAnsi"/>
                <w:sz w:val="24"/>
                <w:szCs w:val="24"/>
              </w:rPr>
            </w:pPr>
          </w:p>
          <w:p w14:paraId="0343F855" w14:textId="77777777" w:rsidR="004F54C6" w:rsidRPr="001C46E5" w:rsidRDefault="005C3418" w:rsidP="00A321C9">
            <w:pPr>
              <w:rPr>
                <w:rFonts w:cstheme="minorHAnsi"/>
                <w:sz w:val="24"/>
                <w:szCs w:val="24"/>
              </w:rPr>
            </w:pPr>
            <w:r w:rsidRPr="001C46E5">
              <w:rPr>
                <w:rFonts w:cstheme="minorHAnsi"/>
                <w:sz w:val="24"/>
                <w:szCs w:val="24"/>
              </w:rPr>
              <w:t>Opportunities for building close friendships, participating in mentor/mentee relationships, and representing the Fraternity.</w:t>
            </w:r>
          </w:p>
        </w:tc>
      </w:tr>
    </w:tbl>
    <w:p w14:paraId="0014C0BF" w14:textId="77777777" w:rsidR="001D10A9" w:rsidRDefault="001D10A9" w:rsidP="00A321C9">
      <w:pPr>
        <w:spacing w:after="0" w:line="240" w:lineRule="auto"/>
        <w:rPr>
          <w:sz w:val="24"/>
        </w:rPr>
      </w:pPr>
    </w:p>
    <w:p w14:paraId="37330FB7" w14:textId="77777777" w:rsidR="002D5539" w:rsidRDefault="002D5539" w:rsidP="00A321C9">
      <w:pPr>
        <w:spacing w:after="0" w:line="240" w:lineRule="auto"/>
        <w:rPr>
          <w:sz w:val="24"/>
        </w:rPr>
      </w:pPr>
      <w:r>
        <w:rPr>
          <w:sz w:val="24"/>
        </w:rPr>
        <w:lastRenderedPageBreak/>
        <w:br w:type="page"/>
      </w:r>
    </w:p>
    <w:p w14:paraId="309641DD" w14:textId="77777777" w:rsidR="00C7366E" w:rsidRDefault="00C7366E" w:rsidP="00A321C9">
      <w:pPr>
        <w:spacing w:after="0" w:line="240" w:lineRule="auto"/>
        <w:ind w:left="1"/>
        <w:outlineLvl w:val="2"/>
        <w:rPr>
          <w:rFonts w:ascii="Calibri" w:eastAsia="Times New Roman" w:hAnsi="Calibri" w:cs="Calibri"/>
          <w:b/>
          <w:bCs/>
          <w:color w:val="898D8D"/>
          <w:sz w:val="24"/>
          <w:szCs w:val="24"/>
        </w:rPr>
      </w:pPr>
      <w:bookmarkStart w:id="0" w:name="_GoBack"/>
      <w:bookmarkEnd w:id="0"/>
      <w:r w:rsidRPr="00C7366E">
        <w:rPr>
          <w:rFonts w:ascii="Calibri" w:eastAsia="Times New Roman" w:hAnsi="Calibri" w:cs="Calibri"/>
          <w:b/>
          <w:bCs/>
          <w:color w:val="898D8D"/>
          <w:sz w:val="24"/>
          <w:szCs w:val="24"/>
        </w:rPr>
        <w:lastRenderedPageBreak/>
        <w:t>ALUMNAE ASSOCIATION TREASURER’S CALENDAR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345"/>
        <w:gridCol w:w="5750"/>
      </w:tblGrid>
      <w:tr w:rsidR="00F16A91" w:rsidRPr="00F16A91" w14:paraId="1F941EBD" w14:textId="77777777" w:rsidTr="00F16A91">
        <w:tc>
          <w:tcPr>
            <w:tcW w:w="1255" w:type="dxa"/>
            <w:shd w:val="clear" w:color="auto" w:fill="002F6C" w:themeFill="text2"/>
          </w:tcPr>
          <w:p w14:paraId="0F6992BB" w14:textId="77777777" w:rsidR="00F16A91" w:rsidRPr="00F16A91" w:rsidRDefault="00F16A91" w:rsidP="00A321C9">
            <w:pPr>
              <w:rPr>
                <w:b/>
                <w:sz w:val="24"/>
                <w:szCs w:val="24"/>
              </w:rPr>
            </w:pPr>
            <w:r w:rsidRPr="00F16A91">
              <w:rPr>
                <w:b/>
                <w:sz w:val="24"/>
                <w:szCs w:val="24"/>
              </w:rPr>
              <w:t>Due Date</w:t>
            </w:r>
          </w:p>
        </w:tc>
        <w:tc>
          <w:tcPr>
            <w:tcW w:w="2345" w:type="dxa"/>
            <w:shd w:val="clear" w:color="auto" w:fill="002F6C" w:themeFill="text2"/>
          </w:tcPr>
          <w:p w14:paraId="602EC26F" w14:textId="77777777" w:rsidR="00F16A91" w:rsidRPr="00F16A91" w:rsidRDefault="00F16A91" w:rsidP="00A321C9">
            <w:pPr>
              <w:rPr>
                <w:b/>
                <w:sz w:val="24"/>
                <w:szCs w:val="24"/>
              </w:rPr>
            </w:pPr>
            <w:r w:rsidRPr="00F16A91">
              <w:rPr>
                <w:b/>
                <w:sz w:val="24"/>
                <w:szCs w:val="24"/>
              </w:rPr>
              <w:t>Name</w:t>
            </w:r>
          </w:p>
        </w:tc>
        <w:tc>
          <w:tcPr>
            <w:tcW w:w="5750" w:type="dxa"/>
            <w:shd w:val="clear" w:color="auto" w:fill="002F6C" w:themeFill="text2"/>
          </w:tcPr>
          <w:p w14:paraId="7CE6067F" w14:textId="77777777" w:rsidR="00F16A91" w:rsidRPr="00F16A91" w:rsidRDefault="00F16A91" w:rsidP="00A321C9">
            <w:pPr>
              <w:rPr>
                <w:b/>
                <w:sz w:val="24"/>
                <w:szCs w:val="24"/>
              </w:rPr>
            </w:pPr>
            <w:r w:rsidRPr="00F16A91">
              <w:rPr>
                <w:b/>
                <w:sz w:val="24"/>
                <w:szCs w:val="24"/>
              </w:rPr>
              <w:t>Purpose or Explanation</w:t>
            </w:r>
          </w:p>
        </w:tc>
      </w:tr>
      <w:tr w:rsidR="00F16A91" w:rsidRPr="00F16A91" w14:paraId="00A8AB7F" w14:textId="77777777" w:rsidTr="00F16A91">
        <w:tc>
          <w:tcPr>
            <w:tcW w:w="1255" w:type="dxa"/>
          </w:tcPr>
          <w:p w14:paraId="106C0205"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bCs/>
                <w:color w:val="000000"/>
                <w:sz w:val="24"/>
                <w:szCs w:val="24"/>
              </w:rPr>
              <w:t>Nov. 1 </w:t>
            </w:r>
          </w:p>
        </w:tc>
        <w:tc>
          <w:tcPr>
            <w:tcW w:w="2345" w:type="dxa"/>
          </w:tcPr>
          <w:p w14:paraId="1A9626A0" w14:textId="77777777" w:rsidR="00F16A91" w:rsidRPr="00F16A91" w:rsidRDefault="00F16A91" w:rsidP="00A321C9">
            <w:pPr>
              <w:ind w:hanging="16"/>
              <w:rPr>
                <w:rFonts w:ascii="Times New Roman" w:eastAsia="Times New Roman" w:hAnsi="Times New Roman" w:cs="Times New Roman"/>
                <w:sz w:val="24"/>
                <w:szCs w:val="24"/>
              </w:rPr>
            </w:pPr>
            <w:r w:rsidRPr="00F16A91">
              <w:rPr>
                <w:rFonts w:ascii="Calibri" w:eastAsia="Times New Roman" w:hAnsi="Calibri" w:cs="Calibri"/>
                <w:color w:val="000000"/>
                <w:sz w:val="24"/>
                <w:szCs w:val="24"/>
              </w:rPr>
              <w:t>Alumnae</w:t>
            </w:r>
            <w:r w:rsidR="00A321C9" w:rsidRPr="00F16A91">
              <w:rPr>
                <w:rFonts w:ascii="Calibri" w:eastAsia="Times New Roman" w:hAnsi="Calibri" w:cs="Calibri"/>
                <w:color w:val="000000"/>
                <w:sz w:val="24"/>
                <w:szCs w:val="24"/>
              </w:rPr>
              <w:t xml:space="preserve"> association fees</w:t>
            </w:r>
          </w:p>
        </w:tc>
        <w:tc>
          <w:tcPr>
            <w:tcW w:w="5750" w:type="dxa"/>
          </w:tcPr>
          <w:p w14:paraId="0D54936E" w14:textId="77777777" w:rsidR="00F16A91" w:rsidRPr="00F16A91" w:rsidRDefault="00F16A91" w:rsidP="00A321C9">
            <w:pPr>
              <w:ind w:left="7" w:hanging="7"/>
              <w:rPr>
                <w:rFonts w:ascii="Calibri" w:eastAsia="Times New Roman" w:hAnsi="Calibri" w:cs="Calibri"/>
                <w:color w:val="FF0000"/>
                <w:sz w:val="24"/>
                <w:szCs w:val="24"/>
              </w:rPr>
            </w:pPr>
            <w:r w:rsidRPr="00F16A91">
              <w:rPr>
                <w:rFonts w:ascii="Calibri" w:eastAsia="Times New Roman" w:hAnsi="Calibri" w:cs="Calibri"/>
                <w:color w:val="000000"/>
                <w:sz w:val="24"/>
                <w:szCs w:val="24"/>
              </w:rPr>
              <w:t>The</w:t>
            </w:r>
            <w:r w:rsidRPr="00F16A91">
              <w:rPr>
                <w:rFonts w:ascii="Calibri" w:eastAsia="Times New Roman" w:hAnsi="Calibri" w:cs="Calibri"/>
                <w:color w:val="FF0000"/>
                <w:sz w:val="24"/>
                <w:szCs w:val="24"/>
              </w:rPr>
              <w:t xml:space="preserve"> </w:t>
            </w:r>
            <w:r w:rsidRPr="00F16A91">
              <w:rPr>
                <w:rFonts w:ascii="Calibri" w:eastAsia="Times New Roman" w:hAnsi="Calibri" w:cs="Calibri"/>
                <w:color w:val="000000"/>
                <w:sz w:val="24"/>
                <w:szCs w:val="24"/>
              </w:rPr>
              <w:t>per capita fees and an alphabetized list of each member’s name, address</w:t>
            </w:r>
            <w:r w:rsidR="00A321C9">
              <w:rPr>
                <w:rFonts w:ascii="Calibri" w:eastAsia="Times New Roman" w:hAnsi="Calibri" w:cs="Calibri"/>
                <w:color w:val="000000"/>
                <w:sz w:val="24"/>
                <w:szCs w:val="24"/>
              </w:rPr>
              <w:t>,</w:t>
            </w:r>
            <w:r w:rsidRPr="00F16A91">
              <w:rPr>
                <w:rFonts w:ascii="Calibri" w:eastAsia="Times New Roman" w:hAnsi="Calibri" w:cs="Calibri"/>
                <w:color w:val="000000"/>
                <w:sz w:val="24"/>
                <w:szCs w:val="24"/>
              </w:rPr>
              <w:t xml:space="preserve"> and information </w:t>
            </w:r>
            <w:r w:rsidRPr="001A6B2F">
              <w:rPr>
                <w:rFonts w:ascii="Calibri" w:eastAsia="Times New Roman" w:hAnsi="Calibri" w:cs="Calibri"/>
                <w:sz w:val="24"/>
                <w:szCs w:val="24"/>
              </w:rPr>
              <w:t xml:space="preserve">regarding their payment of per capita fees and local association fees </w:t>
            </w:r>
            <w:r w:rsidRPr="00F16A91">
              <w:rPr>
                <w:rFonts w:ascii="Calibri" w:eastAsia="Times New Roman" w:hAnsi="Calibri" w:cs="Calibri"/>
                <w:color w:val="000000"/>
                <w:sz w:val="24"/>
                <w:szCs w:val="24"/>
              </w:rPr>
              <w:t xml:space="preserve">are sent to Kappa Headquarters. </w:t>
            </w:r>
            <w:r w:rsidRPr="001A6B2F">
              <w:rPr>
                <w:rFonts w:ascii="Calibri" w:eastAsia="Times New Roman" w:hAnsi="Calibri" w:cs="Calibri"/>
                <w:sz w:val="24"/>
                <w:szCs w:val="24"/>
              </w:rPr>
              <w:t xml:space="preserve">When this list </w:t>
            </w:r>
            <w:r w:rsidR="00A321C9" w:rsidRPr="001A6B2F">
              <w:rPr>
                <w:rFonts w:ascii="Calibri" w:eastAsia="Times New Roman" w:hAnsi="Calibri" w:cs="Calibri"/>
                <w:sz w:val="24"/>
                <w:szCs w:val="24"/>
              </w:rPr>
              <w:t>is submitted i</w:t>
            </w:r>
            <w:r w:rsidRPr="001A6B2F">
              <w:rPr>
                <w:rFonts w:ascii="Calibri" w:eastAsia="Times New Roman" w:hAnsi="Calibri" w:cs="Calibri"/>
                <w:sz w:val="24"/>
                <w:szCs w:val="24"/>
              </w:rPr>
              <w:t xml:space="preserve">n an odd year, it will determine </w:t>
            </w:r>
            <w:r w:rsidR="00A321C9" w:rsidRPr="001A6B2F">
              <w:rPr>
                <w:rFonts w:ascii="Calibri" w:eastAsia="Times New Roman" w:hAnsi="Calibri" w:cs="Calibri"/>
                <w:sz w:val="24"/>
                <w:szCs w:val="24"/>
              </w:rPr>
              <w:t>if</w:t>
            </w:r>
            <w:r w:rsidRPr="001A6B2F">
              <w:rPr>
                <w:rFonts w:ascii="Calibri" w:eastAsia="Times New Roman" w:hAnsi="Calibri" w:cs="Calibri"/>
                <w:sz w:val="24"/>
                <w:szCs w:val="24"/>
              </w:rPr>
              <w:t xml:space="preserve"> your association is in good standing </w:t>
            </w:r>
            <w:r w:rsidR="00A321C9" w:rsidRPr="001A6B2F">
              <w:rPr>
                <w:rFonts w:ascii="Calibri" w:eastAsia="Times New Roman" w:hAnsi="Calibri" w:cs="Calibri"/>
                <w:sz w:val="24"/>
                <w:szCs w:val="24"/>
              </w:rPr>
              <w:t>and eligible to</w:t>
            </w:r>
            <w:r w:rsidRPr="001A6B2F">
              <w:rPr>
                <w:rFonts w:ascii="Calibri" w:eastAsia="Times New Roman" w:hAnsi="Calibri" w:cs="Calibri"/>
                <w:sz w:val="24"/>
                <w:szCs w:val="24"/>
              </w:rPr>
              <w:t xml:space="preserve"> vote at the Convention the following year.</w:t>
            </w:r>
          </w:p>
        </w:tc>
      </w:tr>
      <w:tr w:rsidR="00F16A91" w:rsidRPr="00F16A91" w14:paraId="4CC26309" w14:textId="77777777" w:rsidTr="00F16A91">
        <w:tc>
          <w:tcPr>
            <w:tcW w:w="1255" w:type="dxa"/>
            <w:shd w:val="clear" w:color="auto" w:fill="BADDF1" w:themeFill="accent2" w:themeFillTint="99"/>
          </w:tcPr>
          <w:p w14:paraId="61C7D404"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bCs/>
                <w:color w:val="000000"/>
                <w:sz w:val="24"/>
                <w:szCs w:val="24"/>
              </w:rPr>
              <w:t>Nov. 15 </w:t>
            </w:r>
          </w:p>
        </w:tc>
        <w:tc>
          <w:tcPr>
            <w:tcW w:w="2345" w:type="dxa"/>
            <w:shd w:val="clear" w:color="auto" w:fill="BADDF1" w:themeFill="accent2" w:themeFillTint="99"/>
          </w:tcPr>
          <w:p w14:paraId="4A1D9617"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color w:val="000000"/>
                <w:sz w:val="24"/>
                <w:szCs w:val="24"/>
              </w:rPr>
              <w:t xml:space="preserve">990N/e-Postcard </w:t>
            </w:r>
            <w:r w:rsidRPr="001A6B2F">
              <w:rPr>
                <w:rFonts w:ascii="Calibri" w:eastAsia="Times New Roman" w:hAnsi="Calibri" w:cs="Calibri"/>
                <w:sz w:val="24"/>
                <w:szCs w:val="24"/>
              </w:rPr>
              <w:t>(filed by Kappa Headquarters)</w:t>
            </w:r>
          </w:p>
        </w:tc>
        <w:tc>
          <w:tcPr>
            <w:tcW w:w="5750" w:type="dxa"/>
            <w:shd w:val="clear" w:color="auto" w:fill="BADDF1" w:themeFill="accent2" w:themeFillTint="99"/>
          </w:tcPr>
          <w:p w14:paraId="6C13C03A" w14:textId="77777777" w:rsidR="00F16A91" w:rsidRPr="00F16A91" w:rsidRDefault="00F16A91" w:rsidP="00A321C9">
            <w:pPr>
              <w:ind w:firstLine="16"/>
              <w:rPr>
                <w:rFonts w:ascii="Calibri" w:eastAsia="Times New Roman" w:hAnsi="Calibri" w:cs="Calibri"/>
                <w:color w:val="000000"/>
                <w:sz w:val="24"/>
                <w:szCs w:val="24"/>
              </w:rPr>
            </w:pPr>
            <w:r w:rsidRPr="00F16A91">
              <w:rPr>
                <w:rFonts w:ascii="Calibri" w:eastAsia="Times New Roman" w:hAnsi="Calibri" w:cs="Calibri"/>
                <w:color w:val="000000"/>
                <w:sz w:val="24"/>
                <w:szCs w:val="24"/>
              </w:rPr>
              <w:t>IRS tax filing when the association’s gross receipts are under $50,000. This is filed by Kappa Headquarters upon the receipt of AT-01. If gross receipts are greater than $50,000, the association must work with an outside accountant to file IRS Form 990 EZ or Form 990.</w:t>
            </w:r>
          </w:p>
        </w:tc>
      </w:tr>
      <w:tr w:rsidR="00F16A91" w:rsidRPr="00F16A91" w14:paraId="7A526AF0" w14:textId="77777777" w:rsidTr="00F16A91">
        <w:tc>
          <w:tcPr>
            <w:tcW w:w="1255" w:type="dxa"/>
          </w:tcPr>
          <w:p w14:paraId="585E34BF"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bCs/>
                <w:color w:val="000000"/>
                <w:sz w:val="24"/>
                <w:szCs w:val="24"/>
              </w:rPr>
              <w:t>Feb. 1</w:t>
            </w:r>
          </w:p>
        </w:tc>
        <w:tc>
          <w:tcPr>
            <w:tcW w:w="2345" w:type="dxa"/>
            <w:shd w:val="clear" w:color="auto" w:fill="FFFFFF"/>
          </w:tcPr>
          <w:p w14:paraId="311A737B" w14:textId="77777777" w:rsidR="00F16A91" w:rsidRPr="00F16A91" w:rsidRDefault="00F16A91" w:rsidP="00A321C9">
            <w:pPr>
              <w:ind w:hanging="16"/>
              <w:rPr>
                <w:rFonts w:ascii="Times New Roman" w:eastAsia="Times New Roman" w:hAnsi="Times New Roman" w:cs="Times New Roman"/>
                <w:sz w:val="24"/>
                <w:szCs w:val="24"/>
              </w:rPr>
            </w:pPr>
            <w:r w:rsidRPr="00F16A91">
              <w:rPr>
                <w:rFonts w:ascii="Calibri" w:eastAsia="Times New Roman" w:hAnsi="Calibri" w:cs="Calibri"/>
                <w:color w:val="000000"/>
                <w:sz w:val="24"/>
                <w:szCs w:val="24"/>
              </w:rPr>
              <w:t xml:space="preserve">Annual </w:t>
            </w:r>
            <w:r w:rsidR="00A321C9" w:rsidRPr="00F16A91">
              <w:rPr>
                <w:rFonts w:ascii="Calibri" w:eastAsia="Times New Roman" w:hAnsi="Calibri" w:cs="Calibri"/>
                <w:color w:val="000000"/>
                <w:sz w:val="24"/>
                <w:szCs w:val="24"/>
              </w:rPr>
              <w:t>per capita fees amount</w:t>
            </w:r>
          </w:p>
        </w:tc>
        <w:tc>
          <w:tcPr>
            <w:tcW w:w="5750" w:type="dxa"/>
            <w:shd w:val="clear" w:color="auto" w:fill="FFFFFF"/>
          </w:tcPr>
          <w:p w14:paraId="5ECD0555" w14:textId="77777777" w:rsidR="00F16A91" w:rsidRPr="00F16A91" w:rsidRDefault="00F16A91" w:rsidP="00A321C9">
            <w:pPr>
              <w:ind w:hanging="13"/>
              <w:rPr>
                <w:rFonts w:ascii="Calibri" w:eastAsia="Times New Roman" w:hAnsi="Calibri" w:cs="Calibri"/>
                <w:color w:val="000000"/>
                <w:sz w:val="24"/>
                <w:szCs w:val="24"/>
              </w:rPr>
            </w:pPr>
            <w:r w:rsidRPr="00F16A91">
              <w:rPr>
                <w:rFonts w:ascii="Calibri" w:eastAsia="Times New Roman" w:hAnsi="Calibri" w:cs="Calibri"/>
                <w:color w:val="000000"/>
                <w:sz w:val="24"/>
                <w:szCs w:val="24"/>
              </w:rPr>
              <w:t>The annual per capita fee is calculated each year, as of Jan</w:t>
            </w:r>
            <w:r>
              <w:rPr>
                <w:rFonts w:ascii="Calibri" w:eastAsia="Times New Roman" w:hAnsi="Calibri" w:cs="Calibri"/>
                <w:color w:val="000000"/>
                <w:sz w:val="24"/>
                <w:szCs w:val="24"/>
              </w:rPr>
              <w:t>.</w:t>
            </w:r>
            <w:r w:rsidRPr="00F16A91">
              <w:rPr>
                <w:rFonts w:ascii="Calibri" w:eastAsia="Times New Roman" w:hAnsi="Calibri" w:cs="Calibri"/>
                <w:color w:val="000000"/>
                <w:sz w:val="24"/>
                <w:szCs w:val="24"/>
              </w:rPr>
              <w:t xml:space="preserve"> 1, by the annual cost of living adjustment (COLA). Notification of the per capita fee will be sent to alumnae associations on this date to prepare for the upcoming budget. For more information, please review</w:t>
            </w:r>
            <w:r w:rsidRPr="00F16A91">
              <w:rPr>
                <w:rFonts w:ascii="Calibri" w:eastAsia="Times New Roman" w:hAnsi="Calibri" w:cs="Calibri"/>
                <w:i/>
                <w:iCs/>
                <w:color w:val="000000"/>
                <w:sz w:val="24"/>
                <w:szCs w:val="24"/>
              </w:rPr>
              <w:t xml:space="preserve"> </w:t>
            </w:r>
            <w:r>
              <w:rPr>
                <w:rFonts w:ascii="Calibri" w:eastAsia="Times New Roman" w:hAnsi="Calibri" w:cs="Calibri"/>
                <w:iCs/>
                <w:color w:val="000000"/>
                <w:sz w:val="24"/>
                <w:szCs w:val="24"/>
              </w:rPr>
              <w:t>the Kappa Kappa Gamm</w:t>
            </w:r>
            <w:r w:rsidRPr="00A321C9">
              <w:rPr>
                <w:rFonts w:ascii="Calibri" w:eastAsia="Times New Roman" w:hAnsi="Calibri" w:cs="Calibri"/>
                <w:iCs/>
                <w:color w:val="000000"/>
                <w:sz w:val="24"/>
                <w:szCs w:val="24"/>
              </w:rPr>
              <w:t xml:space="preserve">a </w:t>
            </w:r>
            <w:r w:rsidR="00A321C9" w:rsidRPr="00A321C9">
              <w:rPr>
                <w:rFonts w:ascii="Calibri" w:eastAsia="Times New Roman" w:hAnsi="Calibri" w:cs="Calibri"/>
                <w:iCs/>
                <w:color w:val="000000"/>
                <w:sz w:val="24"/>
                <w:szCs w:val="24"/>
              </w:rPr>
              <w:t xml:space="preserve">Fraternity </w:t>
            </w:r>
            <w:r>
              <w:rPr>
                <w:rFonts w:ascii="Calibri" w:eastAsia="Times New Roman" w:hAnsi="Calibri" w:cs="Calibri"/>
                <w:iCs/>
                <w:color w:val="000000"/>
                <w:sz w:val="24"/>
                <w:szCs w:val="24"/>
              </w:rPr>
              <w:t>Bylaws, Article III.</w:t>
            </w:r>
            <w:r w:rsidRPr="00F16A91">
              <w:rPr>
                <w:rFonts w:ascii="Calibri" w:eastAsia="Times New Roman" w:hAnsi="Calibri" w:cs="Calibri"/>
                <w:iCs/>
                <w:color w:val="000000"/>
                <w:sz w:val="24"/>
                <w:szCs w:val="24"/>
              </w:rPr>
              <w:t xml:space="preserve"> Section 8</w:t>
            </w:r>
            <w:r w:rsidRPr="00F16A91">
              <w:rPr>
                <w:rFonts w:ascii="Calibri" w:eastAsia="Times New Roman" w:hAnsi="Calibri" w:cs="Calibri"/>
                <w:color w:val="000000"/>
                <w:sz w:val="24"/>
                <w:szCs w:val="24"/>
              </w:rPr>
              <w:t>.</w:t>
            </w:r>
          </w:p>
        </w:tc>
      </w:tr>
      <w:tr w:rsidR="00F16A91" w:rsidRPr="00F16A91" w14:paraId="43A09AAD" w14:textId="77777777" w:rsidTr="00F16A91">
        <w:tc>
          <w:tcPr>
            <w:tcW w:w="1255" w:type="dxa"/>
            <w:shd w:val="clear" w:color="auto" w:fill="BADDF1" w:themeFill="accent2" w:themeFillTint="99"/>
          </w:tcPr>
          <w:p w14:paraId="46DD69F4"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bCs/>
                <w:color w:val="000000"/>
                <w:sz w:val="24"/>
                <w:szCs w:val="24"/>
              </w:rPr>
              <w:t>May </w:t>
            </w:r>
          </w:p>
        </w:tc>
        <w:tc>
          <w:tcPr>
            <w:tcW w:w="2345" w:type="dxa"/>
            <w:shd w:val="clear" w:color="auto" w:fill="BADDF1" w:themeFill="accent2" w:themeFillTint="99"/>
          </w:tcPr>
          <w:p w14:paraId="37369DB8" w14:textId="77777777" w:rsidR="00F16A91" w:rsidRPr="00F16A91" w:rsidRDefault="00F16A91" w:rsidP="00A321C9">
            <w:pPr>
              <w:ind w:hanging="16"/>
              <w:rPr>
                <w:rFonts w:ascii="Times New Roman" w:eastAsia="Times New Roman" w:hAnsi="Times New Roman" w:cs="Times New Roman"/>
                <w:sz w:val="24"/>
                <w:szCs w:val="24"/>
              </w:rPr>
            </w:pPr>
            <w:r w:rsidRPr="00F16A91">
              <w:rPr>
                <w:rFonts w:ascii="Calibri" w:eastAsia="Times New Roman" w:hAnsi="Calibri" w:cs="Calibri"/>
                <w:color w:val="000000"/>
                <w:sz w:val="24"/>
                <w:szCs w:val="24"/>
              </w:rPr>
              <w:t xml:space="preserve">Alumnae </w:t>
            </w:r>
            <w:r w:rsidR="00A321C9" w:rsidRPr="00F16A91">
              <w:rPr>
                <w:rFonts w:ascii="Calibri" w:eastAsia="Times New Roman" w:hAnsi="Calibri" w:cs="Calibri"/>
                <w:color w:val="000000"/>
                <w:sz w:val="24"/>
                <w:szCs w:val="24"/>
              </w:rPr>
              <w:t>association budget</w:t>
            </w:r>
          </w:p>
        </w:tc>
        <w:tc>
          <w:tcPr>
            <w:tcW w:w="5750" w:type="dxa"/>
            <w:shd w:val="clear" w:color="auto" w:fill="BADDF1" w:themeFill="accent2" w:themeFillTint="99"/>
          </w:tcPr>
          <w:p w14:paraId="454D5AC9" w14:textId="77777777" w:rsidR="00F16A91" w:rsidRPr="00F16A91" w:rsidRDefault="00F16A91" w:rsidP="00A321C9">
            <w:pPr>
              <w:ind w:hanging="13"/>
              <w:rPr>
                <w:rFonts w:ascii="Calibri" w:eastAsia="Times New Roman" w:hAnsi="Calibri" w:cs="Calibri"/>
                <w:color w:val="000000"/>
                <w:sz w:val="24"/>
                <w:szCs w:val="24"/>
              </w:rPr>
            </w:pPr>
            <w:r w:rsidRPr="00F16A91">
              <w:rPr>
                <w:rFonts w:ascii="Calibri" w:eastAsia="Times New Roman" w:hAnsi="Calibri" w:cs="Calibri"/>
                <w:color w:val="000000"/>
                <w:sz w:val="24"/>
                <w:szCs w:val="24"/>
              </w:rPr>
              <w:t>The association’s yearly budget for the upcoming year is prepared.</w:t>
            </w:r>
          </w:p>
        </w:tc>
      </w:tr>
      <w:tr w:rsidR="00F16A91" w:rsidRPr="00F16A91" w14:paraId="5DD33EE2" w14:textId="77777777" w:rsidTr="00F16A91">
        <w:tc>
          <w:tcPr>
            <w:tcW w:w="1255" w:type="dxa"/>
          </w:tcPr>
          <w:p w14:paraId="035AA788"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bCs/>
                <w:color w:val="000000"/>
                <w:sz w:val="24"/>
                <w:szCs w:val="24"/>
              </w:rPr>
              <w:t>May 31 </w:t>
            </w:r>
          </w:p>
        </w:tc>
        <w:tc>
          <w:tcPr>
            <w:tcW w:w="2345" w:type="dxa"/>
          </w:tcPr>
          <w:p w14:paraId="47D9C73A"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color w:val="000000"/>
                <w:sz w:val="24"/>
                <w:szCs w:val="24"/>
              </w:rPr>
              <w:t xml:space="preserve">Foundation </w:t>
            </w:r>
          </w:p>
          <w:p w14:paraId="08BCC61A"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color w:val="000000"/>
                <w:sz w:val="24"/>
                <w:szCs w:val="24"/>
              </w:rPr>
              <w:t>Contribution Form</w:t>
            </w:r>
          </w:p>
        </w:tc>
        <w:tc>
          <w:tcPr>
            <w:tcW w:w="5750" w:type="dxa"/>
          </w:tcPr>
          <w:p w14:paraId="4D08989B" w14:textId="77777777" w:rsidR="00F16A91" w:rsidRPr="00F16A91" w:rsidRDefault="00F16A91" w:rsidP="00A321C9">
            <w:pPr>
              <w:rPr>
                <w:rFonts w:ascii="Calibri" w:eastAsia="Times New Roman" w:hAnsi="Calibri" w:cs="Calibri"/>
                <w:color w:val="000000"/>
                <w:sz w:val="24"/>
                <w:szCs w:val="24"/>
              </w:rPr>
            </w:pPr>
            <w:r w:rsidRPr="00F16A91">
              <w:rPr>
                <w:rFonts w:ascii="Calibri" w:eastAsia="Times New Roman" w:hAnsi="Calibri" w:cs="Calibri"/>
                <w:color w:val="000000"/>
                <w:sz w:val="24"/>
                <w:szCs w:val="24"/>
              </w:rPr>
              <w:t>For associations that have contributed to the Kappa Kappa Gamma Foundation.</w:t>
            </w:r>
          </w:p>
        </w:tc>
      </w:tr>
      <w:tr w:rsidR="00F16A91" w:rsidRPr="00F16A91" w14:paraId="5003DB69" w14:textId="77777777" w:rsidTr="00F16A91">
        <w:tc>
          <w:tcPr>
            <w:tcW w:w="1255" w:type="dxa"/>
            <w:shd w:val="clear" w:color="auto" w:fill="BADDF1" w:themeFill="accent2" w:themeFillTint="99"/>
          </w:tcPr>
          <w:p w14:paraId="0C20565F"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bCs/>
                <w:color w:val="000000"/>
                <w:sz w:val="24"/>
                <w:szCs w:val="24"/>
              </w:rPr>
              <w:t>July 1</w:t>
            </w:r>
          </w:p>
        </w:tc>
        <w:tc>
          <w:tcPr>
            <w:tcW w:w="2345" w:type="dxa"/>
            <w:shd w:val="clear" w:color="auto" w:fill="BADDF1" w:themeFill="accent2" w:themeFillTint="99"/>
          </w:tcPr>
          <w:p w14:paraId="4F9E2E10" w14:textId="77777777" w:rsidR="00F16A91" w:rsidRPr="00F16A91" w:rsidRDefault="00F16A91" w:rsidP="00A321C9">
            <w:pPr>
              <w:ind w:hanging="16"/>
              <w:rPr>
                <w:rFonts w:ascii="Times New Roman" w:eastAsia="Times New Roman" w:hAnsi="Times New Roman" w:cs="Times New Roman"/>
                <w:sz w:val="24"/>
                <w:szCs w:val="24"/>
              </w:rPr>
            </w:pPr>
            <w:r w:rsidRPr="00F16A91">
              <w:rPr>
                <w:rFonts w:ascii="Calibri" w:eastAsia="Times New Roman" w:hAnsi="Calibri" w:cs="Calibri"/>
                <w:color w:val="000000"/>
                <w:sz w:val="24"/>
                <w:szCs w:val="24"/>
              </w:rPr>
              <w:t xml:space="preserve">Annual </w:t>
            </w:r>
            <w:r w:rsidR="00A321C9" w:rsidRPr="00F16A91">
              <w:rPr>
                <w:rFonts w:ascii="Calibri" w:eastAsia="Times New Roman" w:hAnsi="Calibri" w:cs="Calibri"/>
                <w:color w:val="000000"/>
                <w:sz w:val="24"/>
                <w:szCs w:val="24"/>
              </w:rPr>
              <w:t>per capita fee increase</w:t>
            </w:r>
          </w:p>
        </w:tc>
        <w:tc>
          <w:tcPr>
            <w:tcW w:w="5750" w:type="dxa"/>
            <w:shd w:val="clear" w:color="auto" w:fill="BADDF1" w:themeFill="accent2" w:themeFillTint="99"/>
          </w:tcPr>
          <w:p w14:paraId="0259F475" w14:textId="77777777" w:rsidR="00F16A91" w:rsidRPr="00F16A91" w:rsidRDefault="00F16A91" w:rsidP="00A321C9">
            <w:pPr>
              <w:rPr>
                <w:rFonts w:ascii="Calibri" w:eastAsia="Times New Roman" w:hAnsi="Calibri" w:cs="Calibri"/>
                <w:iCs/>
                <w:color w:val="000000"/>
                <w:sz w:val="24"/>
                <w:szCs w:val="24"/>
              </w:rPr>
            </w:pPr>
            <w:r w:rsidRPr="00F16A91">
              <w:rPr>
                <w:rFonts w:ascii="Calibri" w:eastAsia="Times New Roman" w:hAnsi="Calibri" w:cs="Calibri"/>
                <w:color w:val="000000"/>
                <w:sz w:val="24"/>
                <w:szCs w:val="24"/>
              </w:rPr>
              <w:t>The annual per capita fee increase goes into effect on this date per</w:t>
            </w:r>
            <w:r w:rsidRPr="00F16A91">
              <w:rPr>
                <w:rFonts w:ascii="Calibri" w:eastAsia="Times New Roman" w:hAnsi="Calibri" w:cs="Calibri"/>
                <w:iCs/>
                <w:color w:val="000000"/>
                <w:sz w:val="24"/>
                <w:szCs w:val="24"/>
              </w:rPr>
              <w:t xml:space="preserve"> </w:t>
            </w:r>
            <w:r>
              <w:rPr>
                <w:rFonts w:ascii="Calibri" w:eastAsia="Times New Roman" w:hAnsi="Calibri" w:cs="Calibri"/>
                <w:iCs/>
                <w:color w:val="000000"/>
                <w:sz w:val="24"/>
                <w:szCs w:val="24"/>
              </w:rPr>
              <w:t xml:space="preserve">the </w:t>
            </w:r>
            <w:r w:rsidRPr="00F16A91">
              <w:rPr>
                <w:rFonts w:ascii="Calibri" w:eastAsia="Times New Roman" w:hAnsi="Calibri" w:cs="Calibri"/>
                <w:iCs/>
                <w:color w:val="000000"/>
                <w:sz w:val="24"/>
                <w:szCs w:val="24"/>
              </w:rPr>
              <w:t>Fraternity Bylaws, Article III</w:t>
            </w:r>
            <w:r>
              <w:rPr>
                <w:rFonts w:ascii="Calibri" w:eastAsia="Times New Roman" w:hAnsi="Calibri" w:cs="Calibri"/>
                <w:iCs/>
                <w:color w:val="000000"/>
                <w:sz w:val="24"/>
                <w:szCs w:val="24"/>
              </w:rPr>
              <w:t>.</w:t>
            </w:r>
            <w:r w:rsidRPr="00F16A91">
              <w:rPr>
                <w:rFonts w:ascii="Calibri" w:eastAsia="Times New Roman" w:hAnsi="Calibri" w:cs="Calibri"/>
                <w:iCs/>
                <w:color w:val="000000"/>
                <w:sz w:val="24"/>
                <w:szCs w:val="24"/>
              </w:rPr>
              <w:t xml:space="preserve"> Section 8.</w:t>
            </w:r>
          </w:p>
        </w:tc>
      </w:tr>
      <w:tr w:rsidR="00F16A91" w:rsidRPr="00F16A91" w14:paraId="3199D28B" w14:textId="77777777" w:rsidTr="00A321C9">
        <w:trPr>
          <w:trHeight w:val="153"/>
        </w:trPr>
        <w:tc>
          <w:tcPr>
            <w:tcW w:w="1255" w:type="dxa"/>
          </w:tcPr>
          <w:p w14:paraId="3F0519BF" w14:textId="77777777" w:rsidR="00F16A91" w:rsidRPr="00F16A91" w:rsidRDefault="00F16A91" w:rsidP="00A321C9">
            <w:pPr>
              <w:rPr>
                <w:rFonts w:ascii="Times New Roman" w:eastAsia="Times New Roman" w:hAnsi="Times New Roman" w:cs="Times New Roman"/>
                <w:sz w:val="24"/>
                <w:szCs w:val="24"/>
              </w:rPr>
            </w:pPr>
            <w:r w:rsidRPr="00F16A91">
              <w:rPr>
                <w:rFonts w:ascii="Calibri" w:eastAsia="Times New Roman" w:hAnsi="Calibri" w:cs="Calibri"/>
                <w:bCs/>
                <w:color w:val="000000"/>
                <w:sz w:val="24"/>
                <w:szCs w:val="24"/>
              </w:rPr>
              <w:t>July 31 </w:t>
            </w:r>
          </w:p>
        </w:tc>
        <w:tc>
          <w:tcPr>
            <w:tcW w:w="2345" w:type="dxa"/>
          </w:tcPr>
          <w:p w14:paraId="41B9939F" w14:textId="77777777" w:rsidR="00F16A91" w:rsidRPr="00F16A91" w:rsidRDefault="00F16A91" w:rsidP="00A321C9">
            <w:pPr>
              <w:ind w:hanging="16"/>
              <w:rPr>
                <w:rFonts w:ascii="Times New Roman" w:eastAsia="Times New Roman" w:hAnsi="Times New Roman" w:cs="Times New Roman"/>
                <w:sz w:val="24"/>
                <w:szCs w:val="24"/>
              </w:rPr>
            </w:pPr>
            <w:r w:rsidRPr="00F16A91">
              <w:rPr>
                <w:rFonts w:ascii="Calibri" w:eastAsia="Times New Roman" w:hAnsi="Calibri" w:cs="Calibri"/>
                <w:color w:val="000000"/>
                <w:sz w:val="24"/>
                <w:szCs w:val="24"/>
              </w:rPr>
              <w:t>Association Financial Report</w:t>
            </w:r>
          </w:p>
        </w:tc>
        <w:tc>
          <w:tcPr>
            <w:tcW w:w="5750" w:type="dxa"/>
          </w:tcPr>
          <w:p w14:paraId="07610F6F" w14:textId="3FB5A0CA" w:rsidR="00F16A91" w:rsidRPr="00F16A91" w:rsidRDefault="00F16A91" w:rsidP="001A6B2F">
            <w:pPr>
              <w:rPr>
                <w:rFonts w:ascii="Calibri" w:eastAsia="Times New Roman" w:hAnsi="Calibri" w:cs="Calibri"/>
                <w:color w:val="FF0000"/>
                <w:sz w:val="24"/>
                <w:szCs w:val="24"/>
              </w:rPr>
            </w:pPr>
            <w:r w:rsidRPr="00F16A91">
              <w:rPr>
                <w:rFonts w:ascii="Calibri" w:eastAsia="Times New Roman" w:hAnsi="Calibri" w:cs="Calibri"/>
                <w:color w:val="000000"/>
                <w:sz w:val="24"/>
                <w:szCs w:val="24"/>
              </w:rPr>
              <w:t>Submit the Annual Financial Report</w:t>
            </w:r>
            <w:r w:rsidR="006E3706">
              <w:rPr>
                <w:rFonts w:ascii="Calibri" w:eastAsia="Times New Roman" w:hAnsi="Calibri" w:cs="Calibri"/>
                <w:color w:val="000000"/>
                <w:sz w:val="24"/>
                <w:szCs w:val="24"/>
              </w:rPr>
              <w:t xml:space="preserve"> via KeyReports</w:t>
            </w:r>
            <w:r w:rsidRPr="00F16A91">
              <w:rPr>
                <w:rFonts w:ascii="Calibri" w:eastAsia="Times New Roman" w:hAnsi="Calibri" w:cs="Calibri"/>
                <w:color w:val="000000"/>
                <w:sz w:val="24"/>
                <w:szCs w:val="24"/>
              </w:rPr>
              <w:t xml:space="preserve">. </w:t>
            </w:r>
          </w:p>
        </w:tc>
      </w:tr>
    </w:tbl>
    <w:p w14:paraId="752EE154" w14:textId="77777777" w:rsidR="00F16A91" w:rsidRDefault="00F16A91" w:rsidP="00A321C9">
      <w:pPr>
        <w:spacing w:after="0" w:line="240" w:lineRule="auto"/>
      </w:pPr>
    </w:p>
    <w:p w14:paraId="6ACD1517" w14:textId="77777777" w:rsidR="002D5539" w:rsidRPr="001D10A9" w:rsidRDefault="002D5539" w:rsidP="00A321C9">
      <w:pPr>
        <w:spacing w:after="0" w:line="240" w:lineRule="auto"/>
        <w:rPr>
          <w:sz w:val="24"/>
        </w:rPr>
      </w:pPr>
    </w:p>
    <w:sectPr w:rsidR="002D5539" w:rsidRPr="001D10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42515" w14:textId="77777777" w:rsidR="00BB0863" w:rsidRDefault="00BB0863" w:rsidP="001D10A9">
      <w:pPr>
        <w:spacing w:after="0" w:line="240" w:lineRule="auto"/>
      </w:pPr>
      <w:r>
        <w:separator/>
      </w:r>
    </w:p>
  </w:endnote>
  <w:endnote w:type="continuationSeparator" w:id="0">
    <w:p w14:paraId="4CF0220D" w14:textId="77777777" w:rsidR="00BB0863" w:rsidRDefault="00BB0863" w:rsidP="001D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litas Norm Book">
    <w:panose1 w:val="00000000000000000000"/>
    <w:charset w:val="00"/>
    <w:family w:val="modern"/>
    <w:notTrueType/>
    <w:pitch w:val="variable"/>
    <w:sig w:usb0="A000002F" w:usb1="5000004B" w:usb2="00000000" w:usb3="00000000" w:csb0="00000093" w:csb1="00000000"/>
  </w:font>
  <w:font w:name="Solitas Slab Norm Regular">
    <w:panose1 w:val="00000000000000000000"/>
    <w:charset w:val="00"/>
    <w:family w:val="modern"/>
    <w:notTrueType/>
    <w:pitch w:val="variable"/>
    <w:sig w:usb0="A000002F" w:usb1="5000004B" w:usb2="00000000" w:usb3="00000000" w:csb0="00000093" w:csb1="00000000"/>
  </w:font>
  <w:font w:name="Solitas Serif Norm Regular">
    <w:panose1 w:val="00000000000000000000"/>
    <w:charset w:val="00"/>
    <w:family w:val="modern"/>
    <w:notTrueType/>
    <w:pitch w:val="variable"/>
    <w:sig w:usb0="A000002F" w:usb1="50000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984E2" w14:textId="45414FBD" w:rsidR="001D10A9" w:rsidRPr="00D4727D" w:rsidRDefault="00D4727D" w:rsidP="00D4727D">
    <w:pPr>
      <w:pStyle w:val="Footer"/>
      <w:rPr>
        <w:sz w:val="24"/>
      </w:rPr>
    </w:pPr>
    <w:r w:rsidRPr="00D4727D">
      <w:rPr>
        <w:sz w:val="24"/>
      </w:rPr>
      <w:ptab w:relativeTo="margin" w:alignment="center" w:leader="none"/>
    </w:r>
    <w:r w:rsidRPr="00D4727D">
      <w:rPr>
        <w:sz w:val="24"/>
      </w:rPr>
      <w:fldChar w:fldCharType="begin"/>
    </w:r>
    <w:r w:rsidRPr="00D4727D">
      <w:rPr>
        <w:sz w:val="24"/>
      </w:rPr>
      <w:instrText xml:space="preserve"> PAGE  \* Arabic  \* MERGEFORMAT </w:instrText>
    </w:r>
    <w:r w:rsidRPr="00D4727D">
      <w:rPr>
        <w:sz w:val="24"/>
      </w:rPr>
      <w:fldChar w:fldCharType="separate"/>
    </w:r>
    <w:r w:rsidR="001A6B2F">
      <w:rPr>
        <w:noProof/>
        <w:sz w:val="24"/>
      </w:rPr>
      <w:t>3</w:t>
    </w:r>
    <w:r w:rsidRPr="00D4727D">
      <w:rPr>
        <w:sz w:val="24"/>
      </w:rPr>
      <w:fldChar w:fldCharType="end"/>
    </w:r>
    <w:r w:rsidRPr="00D4727D">
      <w:rPr>
        <w:sz w:val="24"/>
      </w:rPr>
      <w:ptab w:relativeTo="margin" w:alignment="right" w:leader="none"/>
    </w:r>
    <w:r w:rsidRPr="00D4727D">
      <w:rPr>
        <w:sz w:val="24"/>
      </w:rPr>
      <w:t>23.12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0039" w14:textId="77777777" w:rsidR="00BB0863" w:rsidRDefault="00BB0863" w:rsidP="001D10A9">
      <w:pPr>
        <w:spacing w:after="0" w:line="240" w:lineRule="auto"/>
      </w:pPr>
      <w:r>
        <w:separator/>
      </w:r>
    </w:p>
  </w:footnote>
  <w:footnote w:type="continuationSeparator" w:id="0">
    <w:p w14:paraId="0715018E" w14:textId="77777777" w:rsidR="00BB0863" w:rsidRDefault="00BB0863" w:rsidP="001D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E530" w14:textId="77777777" w:rsidR="001D10A9" w:rsidRDefault="001D10A9" w:rsidP="00D4727D">
    <w:pPr>
      <w:pStyle w:val="Header"/>
      <w:jc w:val="right"/>
    </w:pPr>
    <w:r>
      <w:rPr>
        <w:noProof/>
      </w:rPr>
      <w:drawing>
        <wp:anchor distT="0" distB="0" distL="114300" distR="114300" simplePos="0" relativeHeight="251658240" behindDoc="1" locked="0" layoutInCell="1" allowOverlap="1" wp14:anchorId="130D024A" wp14:editId="751D88ED">
          <wp:simplePos x="0" y="0"/>
          <wp:positionH relativeFrom="margin">
            <wp:align>left</wp:align>
          </wp:positionH>
          <wp:positionV relativeFrom="paragraph">
            <wp:posOffset>-133350</wp:posOffset>
          </wp:positionV>
          <wp:extent cx="2743200" cy="36224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G_Brandmark_Horizontal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362243"/>
                  </a:xfrm>
                  <a:prstGeom prst="rect">
                    <a:avLst/>
                  </a:prstGeom>
                </pic:spPr>
              </pic:pic>
            </a:graphicData>
          </a:graphic>
        </wp:anchor>
      </w:drawing>
    </w:r>
    <w:r w:rsidR="00D4727D" w:rsidRPr="00D4727D">
      <w:rPr>
        <w:rFonts w:ascii="Cambria Math" w:hAnsi="Cambria Math"/>
        <w:sz w:val="28"/>
      </w:rPr>
      <w:t>ALUMNAE ASSOCIATION TREASURER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7094"/>
    <w:multiLevelType w:val="hybridMultilevel"/>
    <w:tmpl w:val="99E2F350"/>
    <w:lvl w:ilvl="0" w:tplc="EFDA0066">
      <w:numFmt w:val="bullet"/>
      <w:pStyle w:val="Cailin"/>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E3547"/>
    <w:multiLevelType w:val="hybridMultilevel"/>
    <w:tmpl w:val="2F60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66719"/>
    <w:multiLevelType w:val="hybridMultilevel"/>
    <w:tmpl w:val="D92E6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CA3450"/>
    <w:multiLevelType w:val="hybridMultilevel"/>
    <w:tmpl w:val="4210E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9A65FF"/>
    <w:multiLevelType w:val="hybridMultilevel"/>
    <w:tmpl w:val="5EDEE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F07D98"/>
    <w:multiLevelType w:val="hybridMultilevel"/>
    <w:tmpl w:val="0E74F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5AF11F0"/>
    <w:multiLevelType w:val="hybridMultilevel"/>
    <w:tmpl w:val="11F0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5"/>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C6"/>
    <w:rsid w:val="000534F8"/>
    <w:rsid w:val="0007427C"/>
    <w:rsid w:val="000878F3"/>
    <w:rsid w:val="00100984"/>
    <w:rsid w:val="00147E28"/>
    <w:rsid w:val="001964C4"/>
    <w:rsid w:val="001A6B2F"/>
    <w:rsid w:val="001C46E5"/>
    <w:rsid w:val="001D10A9"/>
    <w:rsid w:val="00282AC6"/>
    <w:rsid w:val="002D5539"/>
    <w:rsid w:val="002D70D8"/>
    <w:rsid w:val="003B2C3B"/>
    <w:rsid w:val="00425667"/>
    <w:rsid w:val="004377A0"/>
    <w:rsid w:val="004445BD"/>
    <w:rsid w:val="004E09D8"/>
    <w:rsid w:val="004F54C6"/>
    <w:rsid w:val="005C3418"/>
    <w:rsid w:val="006627DA"/>
    <w:rsid w:val="006C59A2"/>
    <w:rsid w:val="006E3706"/>
    <w:rsid w:val="006F535C"/>
    <w:rsid w:val="0083071B"/>
    <w:rsid w:val="00973099"/>
    <w:rsid w:val="00983DA7"/>
    <w:rsid w:val="009D5511"/>
    <w:rsid w:val="009E058D"/>
    <w:rsid w:val="00A00156"/>
    <w:rsid w:val="00A321C9"/>
    <w:rsid w:val="00AA4D4B"/>
    <w:rsid w:val="00B02296"/>
    <w:rsid w:val="00BB0863"/>
    <w:rsid w:val="00C7366E"/>
    <w:rsid w:val="00C873EA"/>
    <w:rsid w:val="00D100A8"/>
    <w:rsid w:val="00D2748A"/>
    <w:rsid w:val="00D4727D"/>
    <w:rsid w:val="00DB7388"/>
    <w:rsid w:val="00DB7562"/>
    <w:rsid w:val="00E1421A"/>
    <w:rsid w:val="00E74C96"/>
    <w:rsid w:val="00E93F48"/>
    <w:rsid w:val="00F16A91"/>
    <w:rsid w:val="00F564E1"/>
    <w:rsid w:val="00F74032"/>
    <w:rsid w:val="00FA3203"/>
    <w:rsid w:val="00FA6B3E"/>
    <w:rsid w:val="00FD3CA4"/>
    <w:rsid w:val="00FD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E5606"/>
  <w15:chartTrackingRefBased/>
  <w15:docId w15:val="{C3E92DC4-4A71-40F6-9062-B698E792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5C"/>
  </w:style>
  <w:style w:type="paragraph" w:styleId="Heading1">
    <w:name w:val="heading 1"/>
    <w:basedOn w:val="Normal"/>
    <w:next w:val="Normal"/>
    <w:link w:val="Heading1Char"/>
    <w:uiPriority w:val="9"/>
    <w:qFormat/>
    <w:rsid w:val="004E09D8"/>
    <w:pPr>
      <w:keepNext/>
      <w:keepLines/>
      <w:spacing w:before="240" w:after="0"/>
      <w:outlineLvl w:val="0"/>
    </w:pPr>
    <w:rPr>
      <w:rFonts w:asciiTheme="majorHAnsi" w:eastAsiaTheme="majorEastAsia" w:hAnsiTheme="majorHAnsi" w:cstheme="majorBidi"/>
      <w:color w:val="002D7B" w:themeColor="accent1" w:themeShade="BF"/>
      <w:sz w:val="32"/>
      <w:szCs w:val="32"/>
    </w:rPr>
  </w:style>
  <w:style w:type="paragraph" w:styleId="Heading2">
    <w:name w:val="heading 2"/>
    <w:basedOn w:val="Normal"/>
    <w:next w:val="Normal"/>
    <w:link w:val="Heading2Char"/>
    <w:uiPriority w:val="9"/>
    <w:unhideWhenUsed/>
    <w:qFormat/>
    <w:rsid w:val="000878F3"/>
    <w:pPr>
      <w:keepNext/>
      <w:keepLines/>
      <w:spacing w:after="0" w:line="240" w:lineRule="auto"/>
      <w:outlineLvl w:val="1"/>
    </w:pPr>
    <w:rPr>
      <w:rFonts w:eastAsiaTheme="majorEastAsia" w:cstheme="majorBidi"/>
      <w:caps/>
      <w:color w:val="898D8D" w:themeColor="accent6"/>
      <w:sz w:val="24"/>
      <w:szCs w:val="26"/>
    </w:rPr>
  </w:style>
  <w:style w:type="paragraph" w:styleId="Heading3">
    <w:name w:val="heading 3"/>
    <w:basedOn w:val="Normal"/>
    <w:link w:val="Heading3Char"/>
    <w:uiPriority w:val="9"/>
    <w:qFormat/>
    <w:rsid w:val="00C736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view">
    <w:name w:val="Overview"/>
    <w:basedOn w:val="Normal"/>
    <w:link w:val="OverviewChar"/>
    <w:rsid w:val="00AA4D4B"/>
    <w:rPr>
      <w:rFonts w:ascii="Garamond" w:hAnsi="Garamond" w:cs="Arial"/>
      <w:szCs w:val="24"/>
    </w:rPr>
  </w:style>
  <w:style w:type="character" w:customStyle="1" w:styleId="OverviewChar">
    <w:name w:val="Overview Char"/>
    <w:basedOn w:val="DefaultParagraphFont"/>
    <w:link w:val="Overview"/>
    <w:rsid w:val="00AA4D4B"/>
    <w:rPr>
      <w:rFonts w:ascii="Garamond" w:hAnsi="Garamond"/>
      <w:sz w:val="24"/>
      <w:szCs w:val="24"/>
    </w:rPr>
  </w:style>
  <w:style w:type="character" w:customStyle="1" w:styleId="Heading1Char">
    <w:name w:val="Heading 1 Char"/>
    <w:basedOn w:val="DefaultParagraphFont"/>
    <w:link w:val="Heading1"/>
    <w:uiPriority w:val="9"/>
    <w:rsid w:val="004E09D8"/>
    <w:rPr>
      <w:rFonts w:asciiTheme="majorHAnsi" w:eastAsiaTheme="majorEastAsia" w:hAnsiTheme="majorHAnsi" w:cstheme="majorBidi"/>
      <w:color w:val="002D7B" w:themeColor="accent1" w:themeShade="BF"/>
      <w:sz w:val="32"/>
      <w:szCs w:val="32"/>
    </w:rPr>
  </w:style>
  <w:style w:type="paragraph" w:styleId="NoSpacing">
    <w:name w:val="No Spacing"/>
    <w:uiPriority w:val="1"/>
    <w:qFormat/>
    <w:rsid w:val="006F535C"/>
    <w:pPr>
      <w:spacing w:after="0" w:line="240" w:lineRule="auto"/>
    </w:pPr>
  </w:style>
  <w:style w:type="paragraph" w:styleId="ListParagraph">
    <w:name w:val="List Paragraph"/>
    <w:basedOn w:val="Normal"/>
    <w:uiPriority w:val="1"/>
    <w:qFormat/>
    <w:rsid w:val="00AA4D4B"/>
    <w:pPr>
      <w:ind w:left="720"/>
      <w:contextualSpacing/>
    </w:pPr>
  </w:style>
  <w:style w:type="paragraph" w:customStyle="1" w:styleId="Cailin">
    <w:name w:val="Cailin"/>
    <w:basedOn w:val="Heading2"/>
    <w:next w:val="Heading2"/>
    <w:autoRedefine/>
    <w:rsid w:val="00AA4D4B"/>
    <w:pPr>
      <w:numPr>
        <w:numId w:val="4"/>
      </w:numPr>
    </w:pPr>
  </w:style>
  <w:style w:type="character" w:customStyle="1" w:styleId="Heading2Char">
    <w:name w:val="Heading 2 Char"/>
    <w:basedOn w:val="DefaultParagraphFont"/>
    <w:link w:val="Heading2"/>
    <w:uiPriority w:val="9"/>
    <w:rsid w:val="000878F3"/>
    <w:rPr>
      <w:rFonts w:eastAsiaTheme="majorEastAsia" w:cstheme="majorBidi"/>
      <w:caps/>
      <w:color w:val="898D8D" w:themeColor="accent6"/>
      <w:sz w:val="24"/>
      <w:szCs w:val="26"/>
    </w:rPr>
  </w:style>
  <w:style w:type="paragraph" w:customStyle="1" w:styleId="KappaBody">
    <w:name w:val="Kappa Body"/>
    <w:basedOn w:val="Normal"/>
    <w:rsid w:val="00AA4D4B"/>
    <w:rPr>
      <w:rFonts w:ascii="Solitas Norm Book" w:hAnsi="Solitas Norm Book"/>
    </w:rPr>
  </w:style>
  <w:style w:type="paragraph" w:customStyle="1" w:styleId="KappaSubheadings">
    <w:name w:val="Kappa Subheadings"/>
    <w:basedOn w:val="KappaBody"/>
    <w:rsid w:val="00AA4D4B"/>
    <w:rPr>
      <w:rFonts w:ascii="Solitas Slab Norm Regular" w:hAnsi="Solitas Slab Norm Regular"/>
    </w:rPr>
  </w:style>
  <w:style w:type="paragraph" w:customStyle="1" w:styleId="KappaHeading">
    <w:name w:val="Kappa Heading"/>
    <w:basedOn w:val="KappaSubheadings"/>
    <w:rsid w:val="00AA4D4B"/>
    <w:rPr>
      <w:rFonts w:ascii="Solitas Serif Norm Regular" w:hAnsi="Solitas Serif Norm Regular"/>
    </w:rPr>
  </w:style>
  <w:style w:type="paragraph" w:styleId="Header">
    <w:name w:val="header"/>
    <w:basedOn w:val="Normal"/>
    <w:link w:val="HeaderChar"/>
    <w:uiPriority w:val="99"/>
    <w:unhideWhenUsed/>
    <w:rsid w:val="001D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0A9"/>
  </w:style>
  <w:style w:type="paragraph" w:styleId="Footer">
    <w:name w:val="footer"/>
    <w:basedOn w:val="Normal"/>
    <w:link w:val="FooterChar"/>
    <w:uiPriority w:val="99"/>
    <w:unhideWhenUsed/>
    <w:rsid w:val="001D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0A9"/>
  </w:style>
  <w:style w:type="table" w:styleId="TableGrid">
    <w:name w:val="Table Grid"/>
    <w:basedOn w:val="TableNormal"/>
    <w:uiPriority w:val="59"/>
    <w:rsid w:val="004F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736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366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21C9"/>
    <w:rPr>
      <w:sz w:val="16"/>
      <w:szCs w:val="16"/>
    </w:rPr>
  </w:style>
  <w:style w:type="paragraph" w:styleId="CommentText">
    <w:name w:val="annotation text"/>
    <w:basedOn w:val="Normal"/>
    <w:link w:val="CommentTextChar"/>
    <w:uiPriority w:val="99"/>
    <w:semiHidden/>
    <w:unhideWhenUsed/>
    <w:rsid w:val="00A321C9"/>
    <w:pPr>
      <w:spacing w:line="240" w:lineRule="auto"/>
    </w:pPr>
    <w:rPr>
      <w:sz w:val="20"/>
      <w:szCs w:val="20"/>
    </w:rPr>
  </w:style>
  <w:style w:type="character" w:customStyle="1" w:styleId="CommentTextChar">
    <w:name w:val="Comment Text Char"/>
    <w:basedOn w:val="DefaultParagraphFont"/>
    <w:link w:val="CommentText"/>
    <w:uiPriority w:val="99"/>
    <w:semiHidden/>
    <w:rsid w:val="00A321C9"/>
    <w:rPr>
      <w:sz w:val="20"/>
      <w:szCs w:val="20"/>
    </w:rPr>
  </w:style>
  <w:style w:type="paragraph" w:styleId="CommentSubject">
    <w:name w:val="annotation subject"/>
    <w:basedOn w:val="CommentText"/>
    <w:next w:val="CommentText"/>
    <w:link w:val="CommentSubjectChar"/>
    <w:uiPriority w:val="99"/>
    <w:semiHidden/>
    <w:unhideWhenUsed/>
    <w:rsid w:val="00A321C9"/>
    <w:rPr>
      <w:b/>
      <w:bCs/>
    </w:rPr>
  </w:style>
  <w:style w:type="character" w:customStyle="1" w:styleId="CommentSubjectChar">
    <w:name w:val="Comment Subject Char"/>
    <w:basedOn w:val="CommentTextChar"/>
    <w:link w:val="CommentSubject"/>
    <w:uiPriority w:val="99"/>
    <w:semiHidden/>
    <w:rsid w:val="00A321C9"/>
    <w:rPr>
      <w:b/>
      <w:bCs/>
      <w:sz w:val="20"/>
      <w:szCs w:val="20"/>
    </w:rPr>
  </w:style>
  <w:style w:type="paragraph" w:styleId="BalloonText">
    <w:name w:val="Balloon Text"/>
    <w:basedOn w:val="Normal"/>
    <w:link w:val="BalloonTextChar"/>
    <w:uiPriority w:val="99"/>
    <w:semiHidden/>
    <w:unhideWhenUsed/>
    <w:rsid w:val="00A32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C9"/>
    <w:rPr>
      <w:rFonts w:ascii="Segoe UI" w:hAnsi="Segoe UI" w:cs="Segoe UI"/>
      <w:sz w:val="18"/>
      <w:szCs w:val="18"/>
    </w:rPr>
  </w:style>
  <w:style w:type="character" w:styleId="Hyperlink">
    <w:name w:val="Hyperlink"/>
    <w:basedOn w:val="DefaultParagraphFont"/>
    <w:uiPriority w:val="99"/>
    <w:unhideWhenUsed/>
    <w:rsid w:val="004445BD"/>
    <w:rPr>
      <w:color w:val="002F6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60306">
      <w:bodyDiv w:val="1"/>
      <w:marLeft w:val="0"/>
      <w:marRight w:val="0"/>
      <w:marTop w:val="0"/>
      <w:marBottom w:val="0"/>
      <w:divBdr>
        <w:top w:val="none" w:sz="0" w:space="0" w:color="auto"/>
        <w:left w:val="none" w:sz="0" w:space="0" w:color="auto"/>
        <w:bottom w:val="none" w:sz="0" w:space="0" w:color="auto"/>
        <w:right w:val="none" w:sz="0" w:space="0" w:color="auto"/>
      </w:divBdr>
    </w:div>
    <w:div w:id="1191838128">
      <w:bodyDiv w:val="1"/>
      <w:marLeft w:val="0"/>
      <w:marRight w:val="0"/>
      <w:marTop w:val="0"/>
      <w:marBottom w:val="0"/>
      <w:divBdr>
        <w:top w:val="none" w:sz="0" w:space="0" w:color="auto"/>
        <w:left w:val="none" w:sz="0" w:space="0" w:color="auto"/>
        <w:bottom w:val="none" w:sz="0" w:space="0" w:color="auto"/>
        <w:right w:val="none" w:sz="0" w:space="0" w:color="auto"/>
      </w:divBdr>
    </w:div>
    <w:div w:id="13828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th2.kkg.kappakappagamma.local\AllKappa\KKG%20Official%20Templates\Kappa%20Form%20Template_General.dotx" TargetMode="External"/></Relationships>
</file>

<file path=word/theme/theme1.xml><?xml version="1.0" encoding="utf-8"?>
<a:theme xmlns:a="http://schemas.openxmlformats.org/drawingml/2006/main" name="Office Theme">
  <a:themeElements>
    <a:clrScheme name="Kappa Brand Update">
      <a:dk1>
        <a:sysClr val="windowText" lastClr="000000"/>
      </a:dk1>
      <a:lt1>
        <a:sysClr val="window" lastClr="FFFFFF"/>
      </a:lt1>
      <a:dk2>
        <a:srgbClr val="002F6C"/>
      </a:dk2>
      <a:lt2>
        <a:srgbClr val="009CDE"/>
      </a:lt2>
      <a:accent1>
        <a:srgbClr val="003DA5"/>
      </a:accent1>
      <a:accent2>
        <a:srgbClr val="8DC8E8"/>
      </a:accent2>
      <a:accent3>
        <a:srgbClr val="D29F13"/>
      </a:accent3>
      <a:accent4>
        <a:srgbClr val="A2AAAD"/>
      </a:accent4>
      <a:accent5>
        <a:srgbClr val="898D8D"/>
      </a:accent5>
      <a:accent6>
        <a:srgbClr val="898D8D"/>
      </a:accent6>
      <a:hlink>
        <a:srgbClr val="002F6C"/>
      </a:hlink>
      <a:folHlink>
        <a:srgbClr val="009CD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Kappa Form Template_General</Template>
  <TotalTime>0</TotalTime>
  <Pages>3</Pages>
  <Words>712</Words>
  <Characters>4045</Characters>
  <Application>Microsoft Office Word</Application>
  <DocSecurity>4</DocSecurity>
  <Lines>147</Lines>
  <Paragraphs>62</Paragraphs>
  <ScaleCrop>false</ScaleCrop>
  <HeadingPairs>
    <vt:vector size="2" baseType="variant">
      <vt:variant>
        <vt:lpstr>Title</vt:lpstr>
      </vt:variant>
      <vt:variant>
        <vt:i4>1</vt:i4>
      </vt:variant>
    </vt:vector>
  </HeadingPairs>
  <TitlesOfParts>
    <vt:vector size="1" baseType="lpstr">
      <vt:lpstr>Form Template-BlackandWhite</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Template-BlackandWhite</dc:title>
  <dc:subject/>
  <dc:creator>Kat Goodman</dc:creator>
  <cp:keywords>Branding;Kappa, KKG, Kappa Kappa Gamma, Branding, PPT</cp:keywords>
  <dc:description/>
  <cp:lastModifiedBy>Kat Goodman</cp:lastModifiedBy>
  <cp:revision>2</cp:revision>
  <dcterms:created xsi:type="dcterms:W3CDTF">2024-01-03T21:22:00Z</dcterms:created>
  <dcterms:modified xsi:type="dcterms:W3CDTF">2024-01-03T21:22:00Z</dcterms:modified>
  <cp:contentStatus>Approved for use by staff and official volunteers of Kappa Kappa Gamma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f2301ac6-54a4-4e4e-b3e3-f2012bf047f5</vt:lpwstr>
  </property>
</Properties>
</file>